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58E8" w14:textId="77777777" w:rsidR="002D78C9" w:rsidRDefault="00D11C38" w:rsidP="00DD3DD7">
      <w:pPr>
        <w:pStyle w:val="Titre"/>
      </w:pPr>
      <w:r w:rsidRPr="002F663C">
        <w:t>NOTIFICATION</w:t>
      </w:r>
    </w:p>
    <w:p w14:paraId="120F7DEC" w14:textId="77777777" w:rsidR="002F663C" w:rsidRPr="002F663C" w:rsidRDefault="00D11C38" w:rsidP="00DD3DD7">
      <w:pPr>
        <w:pStyle w:val="Title3"/>
      </w:pPr>
      <w:r w:rsidRPr="002F663C">
        <w:t>Addendum</w:t>
      </w:r>
    </w:p>
    <w:p w14:paraId="775E7EB4" w14:textId="77777777" w:rsidR="002F663C" w:rsidRDefault="00D11C3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15 September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F2FB387" w14:textId="77777777" w:rsidR="001E2E4A" w:rsidRPr="002F663C" w:rsidRDefault="001E2E4A" w:rsidP="001E2E4A">
      <w:pPr>
        <w:rPr>
          <w:rFonts w:eastAsia="Calibri" w:cs="Times New Roman"/>
        </w:rPr>
      </w:pPr>
    </w:p>
    <w:p w14:paraId="640730DC" w14:textId="77777777" w:rsidR="002F663C" w:rsidRPr="002F663C" w:rsidRDefault="00D11C38" w:rsidP="002F663C">
      <w:pPr>
        <w:jc w:val="center"/>
        <w:rPr>
          <w:rFonts w:eastAsia="Calibri" w:cs="Times New Roman"/>
          <w:b/>
        </w:rPr>
      </w:pPr>
      <w:r w:rsidRPr="002F663C">
        <w:rPr>
          <w:rFonts w:eastAsia="Calibri" w:cs="Times New Roman"/>
          <w:b/>
        </w:rPr>
        <w:t>_______________</w:t>
      </w:r>
    </w:p>
    <w:p w14:paraId="02EA5AA4" w14:textId="77777777" w:rsidR="002F663C" w:rsidRDefault="002F663C" w:rsidP="002F663C">
      <w:pPr>
        <w:rPr>
          <w:rFonts w:eastAsia="Calibri" w:cs="Times New Roman"/>
        </w:rPr>
      </w:pPr>
    </w:p>
    <w:p w14:paraId="73A3FC93" w14:textId="77777777" w:rsidR="00C14444" w:rsidRPr="002F663C" w:rsidRDefault="00C14444" w:rsidP="002F663C">
      <w:pPr>
        <w:rPr>
          <w:rFonts w:eastAsia="Calibri" w:cs="Times New Roman"/>
        </w:rPr>
      </w:pPr>
    </w:p>
    <w:p w14:paraId="751D79AE" w14:textId="77777777" w:rsidR="002F663C" w:rsidRPr="002F663C" w:rsidRDefault="00D11C38"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Corporate Average Fuel Economy Standards for Model Years 2024-2026 Passenger Cars and Light Trucks</w:t>
      </w:r>
      <w:bookmarkEnd w:id="3"/>
      <w:bookmarkEnd w:id="4"/>
    </w:p>
    <w:p w14:paraId="06D1F6BC"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FD7B50" w14:paraId="7122ABC6"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FF33AC7" w14:textId="77777777" w:rsidR="002F663C" w:rsidRPr="002F663C" w:rsidRDefault="00D11C38"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FD7B50" w14:paraId="5665A075" w14:textId="77777777" w:rsidTr="00E9471B">
        <w:tc>
          <w:tcPr>
            <w:tcW w:w="851" w:type="dxa"/>
            <w:shd w:val="clear" w:color="auto" w:fill="auto"/>
          </w:tcPr>
          <w:p w14:paraId="5A24AFB5" w14:textId="77777777" w:rsidR="002F663C" w:rsidRPr="00711F9C" w:rsidRDefault="00D11C38"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C75986E" w14:textId="77777777" w:rsidR="002F663C" w:rsidRPr="002F663C" w:rsidRDefault="00D11C3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FD7B50" w14:paraId="0E222B19" w14:textId="77777777" w:rsidTr="00E9471B">
        <w:tc>
          <w:tcPr>
            <w:tcW w:w="851" w:type="dxa"/>
            <w:shd w:val="clear" w:color="auto" w:fill="auto"/>
          </w:tcPr>
          <w:p w14:paraId="13C982F2" w14:textId="77777777" w:rsidR="002F663C" w:rsidRPr="00711F9C" w:rsidRDefault="00D11C38"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34B13A9B" w14:textId="77777777" w:rsidR="002F663C" w:rsidRPr="002F663C" w:rsidRDefault="00D11C3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FD7B50" w14:paraId="5DA457B9" w14:textId="77777777" w:rsidTr="00E9471B">
        <w:tc>
          <w:tcPr>
            <w:tcW w:w="851" w:type="dxa"/>
            <w:shd w:val="clear" w:color="auto" w:fill="auto"/>
          </w:tcPr>
          <w:p w14:paraId="4FDC08F1" w14:textId="77777777" w:rsidR="002F663C" w:rsidRPr="00711F9C" w:rsidRDefault="00D11C38"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474FDB7E" w14:textId="77777777" w:rsidR="002F663C" w:rsidRPr="002F663C" w:rsidRDefault="00D11C3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FD7B50" w14:paraId="213F2C27" w14:textId="77777777" w:rsidTr="00E9471B">
        <w:tc>
          <w:tcPr>
            <w:tcW w:w="851" w:type="dxa"/>
            <w:shd w:val="clear" w:color="auto" w:fill="auto"/>
          </w:tcPr>
          <w:p w14:paraId="04C64414" w14:textId="77777777" w:rsidR="002F663C" w:rsidRPr="00711F9C" w:rsidRDefault="00D11C38"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452E6E02" w14:textId="77777777" w:rsidR="002F663C" w:rsidRPr="002F663C" w:rsidRDefault="00D11C3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FD7B50" w14:paraId="503E3C9B" w14:textId="77777777" w:rsidTr="00E9471B">
        <w:tc>
          <w:tcPr>
            <w:tcW w:w="851" w:type="dxa"/>
            <w:shd w:val="clear" w:color="auto" w:fill="auto"/>
          </w:tcPr>
          <w:p w14:paraId="0F8D9D73" w14:textId="77777777" w:rsidR="002F663C" w:rsidRPr="00711F9C" w:rsidRDefault="00D11C38"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46DE10FB" w14:textId="77777777" w:rsidR="002F663C" w:rsidRPr="002F663C" w:rsidRDefault="00D11C38"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Appelnotedebasdep"/>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FD7B50" w14:paraId="0C30840D" w14:textId="77777777" w:rsidTr="00E9471B">
        <w:tc>
          <w:tcPr>
            <w:tcW w:w="851" w:type="dxa"/>
            <w:shd w:val="clear" w:color="auto" w:fill="auto"/>
          </w:tcPr>
          <w:p w14:paraId="7EA7F4D3" w14:textId="77777777" w:rsidR="002F663C" w:rsidRPr="00711F9C" w:rsidRDefault="00D11C38"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0C683FC9" w14:textId="77777777" w:rsidR="002F663C" w:rsidRPr="002F663C" w:rsidRDefault="00D11C3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663C2AF" w14:textId="77777777" w:rsidR="002F663C" w:rsidRPr="002F663C" w:rsidRDefault="00D11C3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FD7B50" w14:paraId="32943F30" w14:textId="77777777" w:rsidTr="00E9471B">
        <w:tc>
          <w:tcPr>
            <w:tcW w:w="851" w:type="dxa"/>
            <w:shd w:val="clear" w:color="auto" w:fill="auto"/>
          </w:tcPr>
          <w:p w14:paraId="3C469D59" w14:textId="77777777" w:rsidR="002F663C" w:rsidRPr="00711F9C" w:rsidRDefault="00D11C38"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7C0F22C4" w14:textId="77777777" w:rsidR="002F663C" w:rsidRPr="002F663C" w:rsidRDefault="00D11C3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6BB5A553" w14:textId="77777777" w:rsidR="002F663C" w:rsidRPr="002F663C" w:rsidRDefault="00D11C3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FD7B50" w14:paraId="4F7AC7F5" w14:textId="77777777" w:rsidTr="00E9471B">
        <w:tc>
          <w:tcPr>
            <w:tcW w:w="851" w:type="dxa"/>
            <w:shd w:val="clear" w:color="auto" w:fill="auto"/>
          </w:tcPr>
          <w:p w14:paraId="7C48ECC6" w14:textId="77777777" w:rsidR="002F663C" w:rsidRPr="00711F9C" w:rsidRDefault="00D11C38"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14B06E0E" w14:textId="77777777" w:rsidR="002F663C" w:rsidRPr="002F663C" w:rsidRDefault="00D11C3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FD7B50" w14:paraId="4386A595" w14:textId="77777777" w:rsidTr="00E9471B">
        <w:tc>
          <w:tcPr>
            <w:tcW w:w="851" w:type="dxa"/>
            <w:tcBorders>
              <w:bottom w:val="double" w:sz="4" w:space="0" w:color="auto"/>
            </w:tcBorders>
            <w:shd w:val="clear" w:color="auto" w:fill="auto"/>
          </w:tcPr>
          <w:p w14:paraId="3455D6AD" w14:textId="77777777" w:rsidR="002F663C" w:rsidRPr="00711F9C" w:rsidRDefault="00D11C38"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5C196810" w14:textId="77777777" w:rsidR="002F663C" w:rsidRPr="002F663C" w:rsidRDefault="00D11C38"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r>
              <w:fldChar w:fldCharType="begin"/>
            </w:r>
            <w:r>
              <w:instrText xml:space="preserve"> HYPERLINK "https://www.govinfo.gov/content/pkg/FR-2021-09-14/html/2021-19799.htm" </w:instrText>
            </w:r>
            <w:r>
              <w:fldChar w:fldCharType="separate"/>
            </w:r>
            <w:r w:rsidR="00467A46">
              <w:rPr>
                <w:rFonts w:eastAsia="Calibri" w:cs="Times New Roman"/>
                <w:color w:val="0000FF"/>
                <w:u w:val="single"/>
              </w:rPr>
              <w:t>https://www.govinfo.gov/content/pkg/FR-2021-09-14/html/2021-19799.htm</w:t>
            </w:r>
            <w:r>
              <w:rPr>
                <w:rFonts w:eastAsia="Calibri" w:cs="Times New Roman"/>
                <w:color w:val="0000FF"/>
                <w:u w:val="single"/>
              </w:rPr>
              <w:fldChar w:fldCharType="end"/>
            </w:r>
          </w:p>
          <w:p w14:paraId="55BA1703" w14:textId="77777777" w:rsidR="00467A46" w:rsidRDefault="00AF53B3" w:rsidP="00EB7B40">
            <w:pPr>
              <w:spacing w:before="60" w:after="60"/>
              <w:rPr>
                <w:rFonts w:eastAsia="Calibri" w:cs="Times New Roman"/>
              </w:rPr>
            </w:pPr>
            <w:hyperlink r:id="rId8" w:history="1">
              <w:r w:rsidR="00D11C38">
                <w:rPr>
                  <w:rFonts w:eastAsia="Calibri" w:cs="Times New Roman"/>
                  <w:color w:val="0000FF"/>
                  <w:u w:val="single"/>
                </w:rPr>
                <w:t>https://www.govinfo.gov/content/pkg/FR-2021-09-14/pdf/2021-19799.pdf</w:t>
              </w:r>
            </w:hyperlink>
          </w:p>
          <w:p w14:paraId="5F11A8D4" w14:textId="77777777" w:rsidR="00467A46" w:rsidRDefault="00AF53B3" w:rsidP="00EB7B40">
            <w:pPr>
              <w:spacing w:before="60" w:after="60"/>
              <w:rPr>
                <w:rFonts w:eastAsia="Calibri" w:cs="Times New Roman"/>
              </w:rPr>
            </w:pPr>
            <w:hyperlink r:id="rId9" w:history="1">
              <w:r w:rsidR="00D11C38">
                <w:rPr>
                  <w:rFonts w:eastAsia="Calibri" w:cs="Times New Roman"/>
                  <w:color w:val="0000FF"/>
                  <w:u w:val="single"/>
                </w:rPr>
                <w:t>https://members.wto.org/crnattachments/2021/TBT/USA/21_5808_00_e.pdf</w:t>
              </w:r>
            </w:hyperlink>
            <w:bookmarkEnd w:id="26"/>
          </w:p>
        </w:tc>
      </w:tr>
      <w:bookmarkEnd w:id="5"/>
    </w:tbl>
    <w:p w14:paraId="1F8B136E" w14:textId="77777777" w:rsidR="002F663C" w:rsidRPr="002F663C" w:rsidRDefault="002F663C" w:rsidP="002F663C">
      <w:pPr>
        <w:jc w:val="left"/>
        <w:rPr>
          <w:rFonts w:eastAsia="Calibri" w:cs="Times New Roman"/>
          <w:highlight w:val="yellow"/>
        </w:rPr>
      </w:pPr>
    </w:p>
    <w:p w14:paraId="357535AF" w14:textId="77777777" w:rsidR="003971FF" w:rsidRPr="007F6EA2" w:rsidRDefault="00D11C3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Public Hearing for Corporate Average Fuel Economy Standards for Model Years 2024-2026 Passenger Cars and Light Trucks</w:t>
      </w:r>
    </w:p>
    <w:p w14:paraId="6C99426E" w14:textId="77777777" w:rsidR="000F4168" w:rsidRPr="002F663C" w:rsidRDefault="00D11C38" w:rsidP="00B16ACF">
      <w:pPr>
        <w:spacing w:after="120"/>
        <w:rPr>
          <w:rFonts w:eastAsia="Calibri" w:cs="Times New Roman"/>
          <w:szCs w:val="18"/>
        </w:rPr>
      </w:pPr>
      <w:r w:rsidRPr="002F663C">
        <w:rPr>
          <w:rFonts w:eastAsia="Calibri" w:cs="Times New Roman"/>
          <w:szCs w:val="18"/>
        </w:rPr>
        <w:t>AGENCY: National Highway Traffic Safety Administration (NHTSA), Department of Transportation (DOT)</w:t>
      </w:r>
    </w:p>
    <w:p w14:paraId="4E965738" w14:textId="77777777" w:rsidR="000F4168" w:rsidRPr="002F663C" w:rsidRDefault="00D11C38" w:rsidP="00B16ACF">
      <w:pPr>
        <w:spacing w:after="120"/>
        <w:rPr>
          <w:rFonts w:eastAsia="Calibri" w:cs="Times New Roman"/>
          <w:szCs w:val="18"/>
        </w:rPr>
      </w:pPr>
      <w:r w:rsidRPr="002F663C">
        <w:rPr>
          <w:rFonts w:eastAsia="Calibri" w:cs="Times New Roman"/>
          <w:szCs w:val="18"/>
        </w:rPr>
        <w:t>ACTION: Notification of public hearing</w:t>
      </w:r>
    </w:p>
    <w:p w14:paraId="789CD07D" w14:textId="77777777" w:rsidR="000F4168" w:rsidRPr="002F663C" w:rsidRDefault="00D11C38" w:rsidP="00B16ACF">
      <w:pPr>
        <w:spacing w:after="120"/>
        <w:rPr>
          <w:rFonts w:eastAsia="Calibri" w:cs="Times New Roman"/>
          <w:szCs w:val="18"/>
        </w:rPr>
      </w:pPr>
      <w:r w:rsidRPr="002F663C">
        <w:rPr>
          <w:rFonts w:eastAsia="Calibri" w:cs="Times New Roman"/>
          <w:szCs w:val="18"/>
        </w:rPr>
        <w:t xml:space="preserve">SUMMARY: The National Highway Traffic Safety Administration (NHTSA) is announcing a virtual public hearing to be held 13 October 2021, on its proposal for the "Corporate Average Fuel Economy Standards for Model Years 2024-2026 Passenger Cars and Light Trucks," which was signed on 5 August 2021, and published in the Federal Register on 3 September 2021. This hearing also allows the public to provide oral comments regarding the Draft Supplemental Environmental Impact Statement that accompanies the proposal. An additional session will be held on 14 October, if necessary, to accommodate the number of people who sign up to provide oral comments. NHTSA is </w:t>
      </w:r>
      <w:r w:rsidRPr="002F663C">
        <w:rPr>
          <w:rFonts w:eastAsia="Calibri" w:cs="Times New Roman"/>
          <w:szCs w:val="18"/>
        </w:rPr>
        <w:lastRenderedPageBreak/>
        <w:t>proposing to revise the corporate average fuel economy (CAFE) standards for passenger cars and light trucks for model years 2024 through 2026 to make the standards more stringent.</w:t>
      </w:r>
    </w:p>
    <w:p w14:paraId="32F740C0" w14:textId="77777777" w:rsidR="000F4168" w:rsidRPr="002F663C" w:rsidRDefault="00D11C38" w:rsidP="00B16ACF">
      <w:pPr>
        <w:spacing w:after="120"/>
        <w:rPr>
          <w:rFonts w:eastAsia="Calibri" w:cs="Times New Roman"/>
          <w:szCs w:val="18"/>
        </w:rPr>
      </w:pPr>
      <w:r w:rsidRPr="002F663C">
        <w:rPr>
          <w:rFonts w:eastAsia="Calibri" w:cs="Times New Roman"/>
          <w:szCs w:val="18"/>
        </w:rPr>
        <w:t>DATES: NHTSA will hold a virtual public hearing on 13 October 2021. An additional session will be held on 14 October, if necessary, to accommodate the number of people who sign up to testify. Please refer to the SUPPLEMENTARY INFORMATION section for additional information on the public hearing.</w:t>
      </w:r>
    </w:p>
    <w:p w14:paraId="527BCA9C" w14:textId="77777777" w:rsidR="000F4168" w:rsidRPr="002F663C" w:rsidRDefault="00D11C38" w:rsidP="00B16ACF">
      <w:pPr>
        <w:spacing w:after="120"/>
        <w:rPr>
          <w:rFonts w:eastAsia="Calibri" w:cs="Times New Roman"/>
          <w:szCs w:val="18"/>
        </w:rPr>
      </w:pPr>
      <w:r w:rsidRPr="002F663C">
        <w:rPr>
          <w:rFonts w:eastAsia="Calibri" w:cs="Times New Roman"/>
          <w:szCs w:val="18"/>
        </w:rPr>
        <w:t xml:space="preserve">This notification of public hearing and the notice of proposed rulemaking notified as </w:t>
      </w:r>
      <w:hyperlink r:id="rId10" w:history="1">
        <w:r w:rsidRPr="002F663C">
          <w:rPr>
            <w:rFonts w:eastAsia="Calibri" w:cs="Times New Roman"/>
            <w:color w:val="0000FF"/>
            <w:szCs w:val="18"/>
            <w:u w:val="single"/>
          </w:rPr>
          <w:t>G/TBT/N/USA/1773</w:t>
        </w:r>
      </w:hyperlink>
      <w:r w:rsidRPr="002F663C">
        <w:rPr>
          <w:rFonts w:eastAsia="Calibri" w:cs="Times New Roman"/>
          <w:szCs w:val="18"/>
        </w:rPr>
        <w:t xml:space="preserve"> are identified by Docket Number NHTSA-2021-0053. The Docket Folder is available on Regulations.gov at </w:t>
      </w:r>
      <w:hyperlink r:id="rId11" w:tgtFrame="_blank" w:history="1">
        <w:r w:rsidRPr="002F663C">
          <w:rPr>
            <w:rFonts w:eastAsia="Calibri" w:cs="Times New Roman"/>
            <w:color w:val="0000FF"/>
            <w:szCs w:val="18"/>
            <w:u w:val="single"/>
          </w:rPr>
          <w:t>https://www.regulations.gov/docket/NHTSA-2021-0053/document</w:t>
        </w:r>
      </w:hyperlink>
      <w:r w:rsidRPr="002F663C">
        <w:rPr>
          <w:rFonts w:eastAsia="Calibri" w:cs="Times New Roman"/>
          <w:szCs w:val="18"/>
        </w:rPr>
        <w:t xml:space="preserve"> and provides access to primary and supporting documents as well as comments received. Documents are also accessible from </w:t>
      </w:r>
      <w:hyperlink r:id="rId12"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The public comment period for the proposed rule is scheduled to conclude on 26 October 2021. WTO Members and their stakeholders are sked to submit comments (for the hearing and/or on the Proposed Rule text more broadly) to the </w:t>
      </w:r>
      <w:hyperlink r:id="rId13" w:tgtFrame="_blank"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will be shared with NHTSA and will also be submitted to the </w:t>
      </w:r>
      <w:hyperlink r:id="rId14" w:tgtFrame="_blank" w:history="1">
        <w:r w:rsidRPr="002F663C">
          <w:rPr>
            <w:rFonts w:eastAsia="Calibri" w:cs="Times New Roman"/>
            <w:color w:val="0000FF"/>
            <w:szCs w:val="18"/>
            <w:u w:val="single"/>
          </w:rPr>
          <w:t>Docket</w:t>
        </w:r>
      </w:hyperlink>
      <w:r w:rsidRPr="002F663C">
        <w:rPr>
          <w:rFonts w:eastAsia="Calibri" w:cs="Times New Roman"/>
          <w:szCs w:val="18"/>
        </w:rPr>
        <w:t> on Regulations.gov if received within the comment period.</w:t>
      </w:r>
    </w:p>
    <w:p w14:paraId="721899BC" w14:textId="77777777" w:rsidR="000F4168" w:rsidRPr="002F663C" w:rsidRDefault="00D11C38" w:rsidP="00B16ACF">
      <w:pPr>
        <w:spacing w:after="120"/>
        <w:rPr>
          <w:rFonts w:eastAsia="Calibri" w:cs="Times New Roman"/>
          <w:szCs w:val="18"/>
        </w:rPr>
      </w:pPr>
      <w:r w:rsidRPr="002F663C">
        <w:rPr>
          <w:rFonts w:eastAsia="Calibri" w:cs="Times New Roman"/>
          <w:szCs w:val="18"/>
        </w:rPr>
        <w:t xml:space="preserve">WTO Members and their stakeholders who wish to comment at the hearing: Click the link at </w:t>
      </w:r>
      <w:hyperlink r:id="rId15" w:tgtFrame="_blank" w:history="1">
        <w:r w:rsidRPr="002F663C">
          <w:rPr>
            <w:rFonts w:eastAsia="Calibri" w:cs="Times New Roman"/>
            <w:color w:val="0000FF"/>
            <w:szCs w:val="18"/>
            <w:u w:val="single"/>
          </w:rPr>
          <w:t>https://www.nhtsa.gov/cafe</w:t>
        </w:r>
      </w:hyperlink>
      <w:r w:rsidRPr="002F663C">
        <w:rPr>
          <w:rFonts w:eastAsia="Calibri" w:cs="Times New Roman"/>
          <w:szCs w:val="18"/>
        </w:rPr>
        <w:t xml:space="preserve">and register by 7 October 2021. Indicate YES on the registration page that you would like to provide comments. Any updates made to any aspects of the hearing logistics, including any change to the date of the hearing or a potential additional session on 14 October, will be posted on NHTSA's website at </w:t>
      </w:r>
      <w:hyperlink r:id="rId16" w:history="1">
        <w:r w:rsidRPr="002F663C">
          <w:rPr>
            <w:rFonts w:eastAsia="Calibri" w:cs="Times New Roman"/>
            <w:color w:val="0000FF"/>
            <w:szCs w:val="18"/>
            <w:u w:val="single"/>
          </w:rPr>
          <w:t>https://www.nhtsa.gov/cafe</w:t>
        </w:r>
      </w:hyperlink>
      <w:r w:rsidRPr="002F663C">
        <w:rPr>
          <w:rFonts w:eastAsia="Calibri" w:cs="Times New Roman"/>
          <w:szCs w:val="18"/>
        </w:rPr>
        <w:t>.</w:t>
      </w:r>
    </w:p>
    <w:p w14:paraId="34CEC40C" w14:textId="77777777" w:rsidR="006C5A96" w:rsidRDefault="00D11C38" w:rsidP="006C5A96">
      <w:pPr>
        <w:jc w:val="center"/>
        <w:rPr>
          <w:b/>
        </w:rPr>
      </w:pPr>
      <w:r w:rsidRPr="003971FF">
        <w:rPr>
          <w:b/>
        </w:rPr>
        <w:t>__________</w:t>
      </w:r>
    </w:p>
    <w:p w14:paraId="7B43D8D9" w14:textId="77777777" w:rsidR="004D4D19" w:rsidRDefault="004D4D19" w:rsidP="007F38C2">
      <w:pPr>
        <w:jc w:val="center"/>
        <w:rPr>
          <w:b/>
        </w:rPr>
      </w:pPr>
    </w:p>
    <w:p w14:paraId="74E2EA86"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294A6" w14:textId="77777777" w:rsidR="005C3299" w:rsidRDefault="00D11C38">
      <w:r>
        <w:separator/>
      </w:r>
    </w:p>
  </w:endnote>
  <w:endnote w:type="continuationSeparator" w:id="0">
    <w:p w14:paraId="4E6B210B" w14:textId="77777777" w:rsidR="005C3299" w:rsidRDefault="00D1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71A7" w14:textId="77777777" w:rsidR="00544326" w:rsidRPr="00DD3DD7" w:rsidRDefault="00D11C38"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62AE" w14:textId="77777777" w:rsidR="00544326" w:rsidRPr="00DD3DD7" w:rsidRDefault="00D11C38" w:rsidP="00DD3DD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F526" w14:textId="77777777" w:rsidR="00AF53B3" w:rsidRDefault="00AF53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C13E3" w14:textId="77777777" w:rsidR="00BB5622" w:rsidRDefault="00D11C38" w:rsidP="00ED54E0">
      <w:r>
        <w:separator/>
      </w:r>
    </w:p>
  </w:footnote>
  <w:footnote w:type="continuationSeparator" w:id="0">
    <w:p w14:paraId="4017B290" w14:textId="77777777" w:rsidR="00BB5622" w:rsidRDefault="00D11C38" w:rsidP="00ED54E0">
      <w:r>
        <w:continuationSeparator/>
      </w:r>
    </w:p>
  </w:footnote>
  <w:footnote w:id="1">
    <w:p w14:paraId="217388EB" w14:textId="77777777" w:rsidR="007F6EA2" w:rsidRDefault="00D11C38">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5D4F" w14:textId="77777777" w:rsidR="00DD3DD7" w:rsidRDefault="00D11C38" w:rsidP="00DD3DD7">
    <w:pPr>
      <w:pStyle w:val="En-tte"/>
      <w:pBdr>
        <w:bottom w:val="single" w:sz="4" w:space="1" w:color="auto"/>
      </w:pBdr>
      <w:tabs>
        <w:tab w:val="clear" w:pos="4513"/>
        <w:tab w:val="clear" w:pos="9027"/>
      </w:tabs>
      <w:jc w:val="center"/>
    </w:pPr>
    <w:bookmarkStart w:id="27" w:name="bmkSymbols2"/>
    <w:r>
      <w:t>PROVISIONAL215808</w:t>
    </w:r>
    <w:bookmarkEnd w:id="27"/>
  </w:p>
  <w:p w14:paraId="12A377BE" w14:textId="77777777" w:rsidR="004D4D19" w:rsidRPr="00DD3DD7" w:rsidRDefault="004D4D19" w:rsidP="00DD3DD7">
    <w:pPr>
      <w:pStyle w:val="En-tte"/>
      <w:pBdr>
        <w:bottom w:val="single" w:sz="4" w:space="1" w:color="auto"/>
      </w:pBdr>
      <w:tabs>
        <w:tab w:val="clear" w:pos="4513"/>
        <w:tab w:val="clear" w:pos="9027"/>
      </w:tabs>
      <w:jc w:val="center"/>
    </w:pPr>
  </w:p>
  <w:p w14:paraId="243577E9" w14:textId="77777777" w:rsidR="00DD3DD7" w:rsidRPr="00DD3DD7" w:rsidRDefault="00D11C38"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245EEDA"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DD81" w14:textId="77777777" w:rsidR="00DD3DD7" w:rsidRPr="00094E1A" w:rsidRDefault="00D11C38" w:rsidP="00DD3DD7">
    <w:pPr>
      <w:pStyle w:val="En-tte"/>
      <w:pBdr>
        <w:bottom w:val="single" w:sz="4" w:space="1" w:color="auto"/>
      </w:pBdr>
      <w:tabs>
        <w:tab w:val="clear" w:pos="4513"/>
        <w:tab w:val="clear" w:pos="9027"/>
      </w:tabs>
      <w:jc w:val="center"/>
      <w:rPr>
        <w:lang w:val="es-ES"/>
      </w:rPr>
    </w:pPr>
    <w:bookmarkStart w:id="28" w:name="spsSymbolHeader"/>
    <w:r w:rsidRPr="00094E1A">
      <w:rPr>
        <w:lang w:val="es-ES"/>
      </w:rPr>
      <w:t>G/TBT/N/USA/1773/Add.1</w:t>
    </w:r>
    <w:bookmarkEnd w:id="28"/>
  </w:p>
  <w:p w14:paraId="082A8C03" w14:textId="77777777" w:rsidR="00DD3DD7" w:rsidRPr="00094E1A" w:rsidRDefault="00DD3DD7" w:rsidP="00DD3DD7">
    <w:pPr>
      <w:pStyle w:val="En-tte"/>
      <w:pBdr>
        <w:bottom w:val="single" w:sz="4" w:space="1" w:color="auto"/>
      </w:pBdr>
      <w:tabs>
        <w:tab w:val="clear" w:pos="4513"/>
        <w:tab w:val="clear" w:pos="9027"/>
      </w:tabs>
      <w:jc w:val="center"/>
      <w:rPr>
        <w:lang w:val="es-ES"/>
      </w:rPr>
    </w:pPr>
  </w:p>
  <w:p w14:paraId="634A0303" w14:textId="77777777" w:rsidR="00DD3DD7" w:rsidRPr="00DD3DD7" w:rsidRDefault="00D11C38"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9628593"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7B50" w14:paraId="43E97854" w14:textId="77777777" w:rsidTr="00544326">
      <w:trPr>
        <w:trHeight w:val="240"/>
        <w:jc w:val="center"/>
      </w:trPr>
      <w:tc>
        <w:tcPr>
          <w:tcW w:w="3794" w:type="dxa"/>
          <w:shd w:val="clear" w:color="auto" w:fill="FFFFFF"/>
          <w:tcMar>
            <w:left w:w="108" w:type="dxa"/>
            <w:right w:w="108" w:type="dxa"/>
          </w:tcMar>
          <w:vAlign w:val="center"/>
        </w:tcPr>
        <w:p w14:paraId="19AB2FD7"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7571C67" w14:textId="77777777" w:rsidR="00ED54E0" w:rsidRPr="00182B84" w:rsidRDefault="00D11C38" w:rsidP="00425DC5">
          <w:pPr>
            <w:jc w:val="right"/>
            <w:rPr>
              <w:b/>
              <w:color w:val="FF0000"/>
              <w:szCs w:val="16"/>
            </w:rPr>
          </w:pPr>
          <w:r>
            <w:rPr>
              <w:b/>
              <w:color w:val="FF0000"/>
              <w:szCs w:val="16"/>
            </w:rPr>
            <w:t xml:space="preserve"> </w:t>
          </w:r>
        </w:p>
      </w:tc>
    </w:tr>
    <w:tr w:rsidR="00FD7B50" w14:paraId="51F6EE5A" w14:textId="77777777" w:rsidTr="00544326">
      <w:trPr>
        <w:trHeight w:val="213"/>
        <w:jc w:val="center"/>
      </w:trPr>
      <w:tc>
        <w:tcPr>
          <w:tcW w:w="3794" w:type="dxa"/>
          <w:vMerge w:val="restart"/>
          <w:shd w:val="clear" w:color="auto" w:fill="FFFFFF"/>
          <w:tcMar>
            <w:left w:w="0" w:type="dxa"/>
            <w:right w:w="0" w:type="dxa"/>
          </w:tcMar>
        </w:tcPr>
        <w:p w14:paraId="6EBA1158" w14:textId="77777777" w:rsidR="00ED54E0" w:rsidRPr="00182B84" w:rsidRDefault="00D11C38" w:rsidP="00425DC5">
          <w:pPr>
            <w:jc w:val="left"/>
          </w:pPr>
          <w:r w:rsidRPr="00182B84">
            <w:rPr>
              <w:noProof/>
              <w:lang w:val="en-US"/>
            </w:rPr>
            <w:drawing>
              <wp:inline distT="0" distB="0" distL="0" distR="0" wp14:anchorId="0473857D" wp14:editId="5ED4B6B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1872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384D35" w14:textId="77777777" w:rsidR="00ED54E0" w:rsidRPr="00182B84" w:rsidRDefault="00ED54E0" w:rsidP="00425DC5">
          <w:pPr>
            <w:jc w:val="right"/>
            <w:rPr>
              <w:b/>
              <w:szCs w:val="16"/>
            </w:rPr>
          </w:pPr>
        </w:p>
      </w:tc>
    </w:tr>
    <w:tr w:rsidR="00FD7B50" w:rsidRPr="00094E1A" w14:paraId="4056DA9C" w14:textId="77777777" w:rsidTr="00544326">
      <w:trPr>
        <w:trHeight w:val="868"/>
        <w:jc w:val="center"/>
      </w:trPr>
      <w:tc>
        <w:tcPr>
          <w:tcW w:w="3794" w:type="dxa"/>
          <w:vMerge/>
          <w:shd w:val="clear" w:color="auto" w:fill="FFFFFF"/>
          <w:tcMar>
            <w:left w:w="108" w:type="dxa"/>
            <w:right w:w="108" w:type="dxa"/>
          </w:tcMar>
        </w:tcPr>
        <w:p w14:paraId="0922D58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86665ED" w14:textId="77777777" w:rsidR="00DD3DD7" w:rsidRPr="00094E1A" w:rsidRDefault="00D11C38" w:rsidP="00DD3DD7">
          <w:pPr>
            <w:jc w:val="right"/>
            <w:rPr>
              <w:rFonts w:eastAsia="Calibri" w:cs="Times New Roman"/>
              <w:b/>
              <w:szCs w:val="16"/>
              <w:lang w:val="es-ES"/>
            </w:rPr>
          </w:pPr>
          <w:bookmarkStart w:id="29" w:name="bmkSymbols"/>
          <w:r w:rsidRPr="00094E1A">
            <w:rPr>
              <w:rFonts w:eastAsia="Calibri" w:cs="Times New Roman"/>
              <w:b/>
              <w:szCs w:val="16"/>
              <w:lang w:val="es-ES"/>
            </w:rPr>
            <w:t>G/TBT/N/USA/1773/Add.1</w:t>
          </w:r>
          <w:bookmarkEnd w:id="29"/>
        </w:p>
        <w:p w14:paraId="2B60EC52" w14:textId="77777777" w:rsidR="00C14444" w:rsidRPr="00094E1A" w:rsidRDefault="00C14444" w:rsidP="00C14444">
          <w:pPr>
            <w:jc w:val="center"/>
            <w:rPr>
              <w:szCs w:val="16"/>
              <w:lang w:val="es-ES"/>
            </w:rPr>
          </w:pPr>
        </w:p>
      </w:tc>
    </w:tr>
    <w:tr w:rsidR="00FD7B50" w:rsidRPr="00094E1A" w14:paraId="774F6428" w14:textId="77777777" w:rsidTr="00544326">
      <w:trPr>
        <w:trHeight w:val="240"/>
        <w:jc w:val="center"/>
      </w:trPr>
      <w:tc>
        <w:tcPr>
          <w:tcW w:w="3794" w:type="dxa"/>
          <w:vMerge/>
          <w:shd w:val="clear" w:color="auto" w:fill="FFFFFF"/>
          <w:tcMar>
            <w:left w:w="108" w:type="dxa"/>
            <w:right w:w="108" w:type="dxa"/>
          </w:tcMar>
          <w:vAlign w:val="center"/>
        </w:tcPr>
        <w:p w14:paraId="5F0D5DD3" w14:textId="77777777" w:rsidR="00ED54E0" w:rsidRPr="00094E1A" w:rsidRDefault="00ED54E0" w:rsidP="00425DC5">
          <w:pPr>
            <w:rPr>
              <w:lang w:val="es-ES"/>
            </w:rPr>
          </w:pPr>
        </w:p>
      </w:tc>
      <w:tc>
        <w:tcPr>
          <w:tcW w:w="5448" w:type="dxa"/>
          <w:gridSpan w:val="2"/>
          <w:shd w:val="clear" w:color="auto" w:fill="FFFFFF"/>
          <w:tcMar>
            <w:left w:w="108" w:type="dxa"/>
            <w:right w:w="108" w:type="dxa"/>
          </w:tcMar>
          <w:vAlign w:val="center"/>
        </w:tcPr>
        <w:p w14:paraId="1ED5489D" w14:textId="69EBBED3" w:rsidR="00ED54E0" w:rsidRPr="00094E1A" w:rsidRDefault="004E5802" w:rsidP="00425DC5">
          <w:pPr>
            <w:jc w:val="right"/>
            <w:rPr>
              <w:szCs w:val="16"/>
              <w:lang w:val="es-ES"/>
            </w:rPr>
          </w:pPr>
          <w:bookmarkStart w:id="30" w:name="bmkDate"/>
          <w:bookmarkEnd w:id="30"/>
          <w:r>
            <w:rPr>
              <w:szCs w:val="16"/>
              <w:lang w:val="es-ES"/>
            </w:rPr>
            <w:t>15 September  2021</w:t>
          </w:r>
        </w:p>
      </w:tc>
    </w:tr>
    <w:tr w:rsidR="00FD7B50" w14:paraId="4E38649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C24A6B" w14:textId="7D9494E5" w:rsidR="00ED54E0" w:rsidRPr="00182B84" w:rsidRDefault="00D11C38" w:rsidP="00425DC5">
          <w:pPr>
            <w:jc w:val="left"/>
            <w:rPr>
              <w:b/>
            </w:rPr>
          </w:pPr>
          <w:r w:rsidRPr="002F663C">
            <w:rPr>
              <w:rFonts w:eastAsia="Calibri" w:cs="Times New Roman"/>
              <w:color w:val="FF0000"/>
              <w:szCs w:val="16"/>
            </w:rPr>
            <w:t>(</w:t>
          </w:r>
          <w:bookmarkStart w:id="31" w:name="bmkSerial"/>
          <w:r w:rsidR="004E5802">
            <w:rPr>
              <w:rFonts w:eastAsia="Calibri" w:cs="Times New Roman"/>
              <w:color w:val="FF0000"/>
              <w:szCs w:val="16"/>
            </w:rPr>
            <w:t>21</w:t>
          </w:r>
          <w:r w:rsidRPr="002F663C">
            <w:rPr>
              <w:rFonts w:eastAsia="Calibri" w:cs="Times New Roman"/>
              <w:color w:val="FF0000"/>
              <w:szCs w:val="16"/>
            </w:rPr>
            <w:t>-</w:t>
          </w:r>
          <w:bookmarkEnd w:id="31"/>
          <w:r w:rsidR="00AF53B3">
            <w:rPr>
              <w:rFonts w:eastAsia="Calibri" w:cs="Times New Roman"/>
              <w:color w:val="FF0000"/>
              <w:szCs w:val="16"/>
            </w:rPr>
            <w:t>6855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7ADB653" w14:textId="77777777" w:rsidR="00ED54E0" w:rsidRPr="00182B84" w:rsidRDefault="00D11C3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FD7B50" w14:paraId="78759A6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78F2C3" w14:textId="77777777" w:rsidR="00ED54E0" w:rsidRPr="00182B84" w:rsidRDefault="00D11C3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F061C3A" w14:textId="77777777" w:rsidR="00ED54E0" w:rsidRPr="00182B84" w:rsidRDefault="00D11C38"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52B28B76"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C8420A">
      <w:start w:val="1"/>
      <w:numFmt w:val="decimal"/>
      <w:pStyle w:val="SummaryText"/>
      <w:lvlText w:val="%1."/>
      <w:lvlJc w:val="left"/>
      <w:pPr>
        <w:ind w:left="360" w:hanging="360"/>
      </w:pPr>
    </w:lvl>
    <w:lvl w:ilvl="1" w:tplc="F0EE9CA2" w:tentative="1">
      <w:start w:val="1"/>
      <w:numFmt w:val="lowerLetter"/>
      <w:lvlText w:val="%2."/>
      <w:lvlJc w:val="left"/>
      <w:pPr>
        <w:ind w:left="1080" w:hanging="360"/>
      </w:pPr>
    </w:lvl>
    <w:lvl w:ilvl="2" w:tplc="94CE3DF6" w:tentative="1">
      <w:start w:val="1"/>
      <w:numFmt w:val="lowerRoman"/>
      <w:lvlText w:val="%3."/>
      <w:lvlJc w:val="right"/>
      <w:pPr>
        <w:ind w:left="1800" w:hanging="180"/>
      </w:pPr>
    </w:lvl>
    <w:lvl w:ilvl="3" w:tplc="87425B8A" w:tentative="1">
      <w:start w:val="1"/>
      <w:numFmt w:val="decimal"/>
      <w:lvlText w:val="%4."/>
      <w:lvlJc w:val="left"/>
      <w:pPr>
        <w:ind w:left="2520" w:hanging="360"/>
      </w:pPr>
    </w:lvl>
    <w:lvl w:ilvl="4" w:tplc="4E1AC096" w:tentative="1">
      <w:start w:val="1"/>
      <w:numFmt w:val="lowerLetter"/>
      <w:lvlText w:val="%5."/>
      <w:lvlJc w:val="left"/>
      <w:pPr>
        <w:ind w:left="3240" w:hanging="360"/>
      </w:pPr>
    </w:lvl>
    <w:lvl w:ilvl="5" w:tplc="D3088CF4" w:tentative="1">
      <w:start w:val="1"/>
      <w:numFmt w:val="lowerRoman"/>
      <w:lvlText w:val="%6."/>
      <w:lvlJc w:val="right"/>
      <w:pPr>
        <w:ind w:left="3960" w:hanging="180"/>
      </w:pPr>
    </w:lvl>
    <w:lvl w:ilvl="6" w:tplc="16AAFD68" w:tentative="1">
      <w:start w:val="1"/>
      <w:numFmt w:val="decimal"/>
      <w:lvlText w:val="%7."/>
      <w:lvlJc w:val="left"/>
      <w:pPr>
        <w:ind w:left="4680" w:hanging="360"/>
      </w:pPr>
    </w:lvl>
    <w:lvl w:ilvl="7" w:tplc="28547F4E" w:tentative="1">
      <w:start w:val="1"/>
      <w:numFmt w:val="lowerLetter"/>
      <w:lvlText w:val="%8."/>
      <w:lvlJc w:val="left"/>
      <w:pPr>
        <w:ind w:left="5400" w:hanging="360"/>
      </w:pPr>
    </w:lvl>
    <w:lvl w:ilvl="8" w:tplc="728A80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94E1A"/>
    <w:rsid w:val="000A0633"/>
    <w:rsid w:val="000A4945"/>
    <w:rsid w:val="000A5283"/>
    <w:rsid w:val="000B31E1"/>
    <w:rsid w:val="000C5214"/>
    <w:rsid w:val="000F3D39"/>
    <w:rsid w:val="000F4168"/>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E5802"/>
    <w:rsid w:val="004F203A"/>
    <w:rsid w:val="005336B8"/>
    <w:rsid w:val="00544326"/>
    <w:rsid w:val="00547B5F"/>
    <w:rsid w:val="005733F2"/>
    <w:rsid w:val="00573D49"/>
    <w:rsid w:val="005A1A22"/>
    <w:rsid w:val="005B04B9"/>
    <w:rsid w:val="005B3ACA"/>
    <w:rsid w:val="005B68C7"/>
    <w:rsid w:val="005B7054"/>
    <w:rsid w:val="005C3299"/>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AF53B3"/>
    <w:rsid w:val="00AF6107"/>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11C38"/>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829DF"/>
    <w:rsid w:val="00FA1663"/>
    <w:rsid w:val="00FA5EBC"/>
    <w:rsid w:val="00FA6F48"/>
    <w:rsid w:val="00FD224A"/>
    <w:rsid w:val="00FD28F0"/>
    <w:rsid w:val="00FD7B5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9-14/pdf/2021-19799.pdf" TargetMode="External"/><Relationship Id="rId13" Type="http://schemas.openxmlformats.org/officeDocument/2006/relationships/hyperlink" Target="mailto:usatbtep@nist.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tsa.gov/ca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NHTSA-2021-0053/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tsa.gov/cafe" TargetMode="External"/><Relationship Id="rId23" Type="http://schemas.openxmlformats.org/officeDocument/2006/relationships/fontTable" Target="fontTable.xml"/><Relationship Id="rId10" Type="http://schemas.openxmlformats.org/officeDocument/2006/relationships/hyperlink" Target="http://tbtims.wto.org/en/Notifications/Search?ProductsCoveredHSCodes=&amp;ProductsCoveredICSCodes=&amp;DoSearch=True&amp;ExpandSearchMoreFields=False&amp;NotifyingMember=&amp;DocumentSymbol=usa%2F1773&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1/TBT/USA/21_5808_00_e.pdf" TargetMode="External"/><Relationship Id="rId14" Type="http://schemas.openxmlformats.org/officeDocument/2006/relationships/hyperlink" Target="https://www.regulations.gov/docket/NHTSA-2021-0053/docu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545</Words>
  <Characters>3211</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2021-09-15T10:43:00Z</dcterms:created>
  <dcterms:modified xsi:type="dcterms:W3CDTF">2021-09-15T12:58:00Z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