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7027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7027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10A0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:rsidR="00F85C99" w:rsidRPr="002F6A28" w:rsidRDefault="00F7027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10A0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527EFD" w:rsidRPr="002F6A28" w:rsidRDefault="00F70272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bookmarkStart w:id="6" w:name="_GoBack"/>
            <w:bookmarkEnd w:id="6"/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:rsidR="00F85C99" w:rsidRPr="002F6A28" w:rsidRDefault="00F70272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610A0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70272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10A0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Mascara; Eye make-up preparations (HS 330420); Cosmetics. Toiletries (ICS 71.100.70)</w:t>
            </w:r>
            <w:bookmarkStart w:id="21" w:name="sps3a"/>
            <w:bookmarkEnd w:id="21"/>
          </w:p>
        </w:tc>
      </w:tr>
      <w:tr w:rsidR="00610A0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DUS</w:t>
            </w:r>
            <w:proofErr w:type="spellEnd"/>
            <w:r w:rsidR="00EE3A11" w:rsidRPr="00C379C8">
              <w:t xml:space="preserve"> 2286:2020, Mascara — Specification, First Edition (10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10A0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the requirements, sampling and test methods for mascara.</w:t>
            </w:r>
          </w:p>
        </w:tc>
      </w:tr>
      <w:tr w:rsidR="00610A0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8" w:name="sps7f"/>
            <w:bookmarkEnd w:id="28"/>
          </w:p>
        </w:tc>
      </w:tr>
      <w:tr w:rsidR="00610A0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70272" w:rsidP="0047382E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16212, Cosmetics — Microbiology — Enumeration of yeast and mould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346, Labelling of cosmetics — General requirements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377 (all parts), Cosmetics and cosmetic products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846, Glossary of terms relating to the cosmetic industry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847-16, Oils for cosmetic industry —Methods of test — Part 16: Determination of heavy metal content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847-17: 2017, Cosmetics — Analytical methods — Part 17: Determination of pH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847-18, Cosmetics — Analytical methods — Part 18: Determination of thermal stability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18416, Cosmetics — Microbiology — Detection of Candida albicans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21149, Cosmetics — Microbiology — Enumeration and detection of aerobic mesophilic bacteria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22717, Cosmetics — Microbiology — Detection of Pseudomonas aeruginosa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22718, Cosmetics — Microbiology — Detection of Staphylococcus aureus</w:t>
            </w:r>
          </w:p>
          <w:p w:rsidR="00527EFD" w:rsidRPr="002F6A28" w:rsidRDefault="00F70272" w:rsidP="0047382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24153, Random sampling and randomization procedures</w:t>
            </w:r>
          </w:p>
        </w:tc>
      </w:tr>
      <w:tr w:rsidR="00610A0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702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7027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February 2021</w:t>
            </w:r>
            <w:bookmarkEnd w:id="32"/>
          </w:p>
          <w:p w:rsidR="00EE3A11" w:rsidRPr="002F6A28" w:rsidRDefault="00F7027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Minister for Trade, Industry and Cooperatives</w:t>
            </w:r>
            <w:bookmarkEnd w:id="35"/>
          </w:p>
        </w:tc>
      </w:tr>
      <w:tr w:rsidR="00610A0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27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10A0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7027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7027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527EFD" w:rsidRPr="002F6A28" w:rsidRDefault="00F70272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:rsidR="00527EFD" w:rsidRPr="002F6A28" w:rsidRDefault="00516147" w:rsidP="00B16145">
            <w:pPr>
              <w:keepNext/>
              <w:keepLines/>
              <w:spacing w:before="120" w:after="120"/>
            </w:pPr>
            <w:hyperlink r:id="rId11" w:history="1">
              <w:r w:rsidR="00F70272" w:rsidRPr="002F6A28">
                <w:rPr>
                  <w:color w:val="0000FF"/>
                  <w:u w:val="single"/>
                </w:rPr>
                <w:t>https://members.wto.org/crnattachments/2020/TBT/UGA/20_7787_00_e.pdf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B8" w:rsidRDefault="00F70272">
      <w:r>
        <w:separator/>
      </w:r>
    </w:p>
  </w:endnote>
  <w:endnote w:type="continuationSeparator" w:id="0">
    <w:p w:rsidR="005939B8" w:rsidRDefault="00F7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027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027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7027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B8" w:rsidRDefault="00F70272">
      <w:r>
        <w:separator/>
      </w:r>
    </w:p>
  </w:footnote>
  <w:footnote w:type="continuationSeparator" w:id="0">
    <w:p w:rsidR="005939B8" w:rsidRDefault="00F7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02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702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02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UGA</w:t>
    </w:r>
    <w:proofErr w:type="spellEnd"/>
    <w:r w:rsidRPr="002F6A28">
      <w:t>/1275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702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0A0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10A0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7027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75207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10A0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7027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UGA</w:t>
          </w:r>
          <w:proofErr w:type="spellEnd"/>
          <w:r w:rsidRPr="002F6A28">
            <w:rPr>
              <w:b/>
              <w:szCs w:val="16"/>
            </w:rPr>
            <w:t>/1275</w:t>
          </w:r>
          <w:bookmarkEnd w:id="44"/>
        </w:p>
      </w:tc>
    </w:tr>
    <w:tr w:rsidR="00610A0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7027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18 December 2020</w:t>
          </w:r>
        </w:p>
      </w:tc>
    </w:tr>
    <w:tr w:rsidR="00610A0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7027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516147">
            <w:rPr>
              <w:color w:val="FF0000"/>
              <w:szCs w:val="16"/>
            </w:rPr>
            <w:t>9177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7027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10A0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7027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7027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B403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4AC5C8" w:tentative="1">
      <w:start w:val="1"/>
      <w:numFmt w:val="lowerLetter"/>
      <w:lvlText w:val="%2."/>
      <w:lvlJc w:val="left"/>
      <w:pPr>
        <w:ind w:left="1080" w:hanging="360"/>
      </w:pPr>
    </w:lvl>
    <w:lvl w:ilvl="2" w:tplc="28DA8E50" w:tentative="1">
      <w:start w:val="1"/>
      <w:numFmt w:val="lowerRoman"/>
      <w:lvlText w:val="%3."/>
      <w:lvlJc w:val="right"/>
      <w:pPr>
        <w:ind w:left="1800" w:hanging="180"/>
      </w:pPr>
    </w:lvl>
    <w:lvl w:ilvl="3" w:tplc="37B8FC54" w:tentative="1">
      <w:start w:val="1"/>
      <w:numFmt w:val="decimal"/>
      <w:lvlText w:val="%4."/>
      <w:lvlJc w:val="left"/>
      <w:pPr>
        <w:ind w:left="2520" w:hanging="360"/>
      </w:pPr>
    </w:lvl>
    <w:lvl w:ilvl="4" w:tplc="BB2C0AC4" w:tentative="1">
      <w:start w:val="1"/>
      <w:numFmt w:val="lowerLetter"/>
      <w:lvlText w:val="%5."/>
      <w:lvlJc w:val="left"/>
      <w:pPr>
        <w:ind w:left="3240" w:hanging="360"/>
      </w:pPr>
    </w:lvl>
    <w:lvl w:ilvl="5" w:tplc="6BD6559E" w:tentative="1">
      <w:start w:val="1"/>
      <w:numFmt w:val="lowerRoman"/>
      <w:lvlText w:val="%6."/>
      <w:lvlJc w:val="right"/>
      <w:pPr>
        <w:ind w:left="3960" w:hanging="180"/>
      </w:pPr>
    </w:lvl>
    <w:lvl w:ilvl="6" w:tplc="DED2A016" w:tentative="1">
      <w:start w:val="1"/>
      <w:numFmt w:val="decimal"/>
      <w:lvlText w:val="%7."/>
      <w:lvlJc w:val="left"/>
      <w:pPr>
        <w:ind w:left="4680" w:hanging="360"/>
      </w:pPr>
    </w:lvl>
    <w:lvl w:ilvl="7" w:tplc="FAD44F68" w:tentative="1">
      <w:start w:val="1"/>
      <w:numFmt w:val="lowerLetter"/>
      <w:lvlText w:val="%8."/>
      <w:lvlJc w:val="left"/>
      <w:pPr>
        <w:ind w:left="5400" w:hanging="360"/>
      </w:pPr>
    </w:lvl>
    <w:lvl w:ilvl="8" w:tplc="AB267F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82E"/>
    <w:rsid w:val="0048173D"/>
    <w:rsid w:val="004A23F8"/>
    <w:rsid w:val="004C27A4"/>
    <w:rsid w:val="004E51B2"/>
    <w:rsid w:val="004F203A"/>
    <w:rsid w:val="005104AF"/>
    <w:rsid w:val="00516147"/>
    <w:rsid w:val="00527EFD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39B8"/>
    <w:rsid w:val="005B04B9"/>
    <w:rsid w:val="005B68C7"/>
    <w:rsid w:val="005B7054"/>
    <w:rsid w:val="005C5BA4"/>
    <w:rsid w:val="005D5981"/>
    <w:rsid w:val="005F30CB"/>
    <w:rsid w:val="005F6444"/>
    <w:rsid w:val="00610A0B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5A7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272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0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778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2020-12-18T08:53:00Z</dcterms:created>
  <dcterms:modified xsi:type="dcterms:W3CDTF">2020-12-18T10:05:00Z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162dd6d9-8e05-41c1-a512-487d034016ad</vt:lpwstr>
  </property>
  <property fmtid="{D5CDD505-2E9C-101B-9397-08002B2CF9AE}" pid="4" name="WTOCLASSIFICATION">
    <vt:lpwstr>WTO OFFICIAL</vt:lpwstr>
  </property>
</Properties>
</file>