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32B5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32B5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75791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932B5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932B5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A24C5" w:rsidRPr="002F6A28" w:rsidRDefault="00932B55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3 7347501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32B5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Wood chipboards; (HS: 4410, 940330, 940340, 940350, 940360); (ICS: 79.060.01)</w:t>
            </w:r>
            <w:bookmarkStart w:id="20" w:name="sps3a"/>
            <w:bookmarkEnd w:id="20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887 part 3 - Wood chipboards: Boards covered with decorative layers on basis of aminoplastic resins (4</w:t>
            </w:r>
            <w:r w:rsidR="00DC10D1">
              <w:t> </w:t>
            </w:r>
            <w:r w:rsidR="00EE3A11" w:rsidRPr="00C379C8">
              <w:t>page(s), in Hebrew)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DC10D1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5</w:t>
            </w:r>
            <w:r w:rsidR="00FE448B" w:rsidRPr="00C379C8">
              <w:rPr>
                <w:vertAlign w:val="superscript"/>
              </w:rPr>
              <w:t>th</w:t>
            </w:r>
            <w:r w:rsidR="00FE448B" w:rsidRPr="00C379C8">
              <w:t xml:space="preserve"> amendment to the Mandatory Standard SI 887 part 3 dealing with</w:t>
            </w:r>
            <w:r w:rsidR="00DC10D1">
              <w:t xml:space="preserve"> </w:t>
            </w:r>
            <w:r w:rsidR="00FE448B" w:rsidRPr="00C379C8">
              <w:t>wood chipboards covered with decorative layers on basis of aminoplastic resins. This amendment changes the following:</w:t>
            </w:r>
          </w:p>
          <w:p w:rsidR="00FE448B" w:rsidRPr="00C379C8" w:rsidRDefault="00932B55" w:rsidP="00DC10D1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Adds new references to paragraph 102;</w:t>
            </w:r>
          </w:p>
          <w:p w:rsidR="00FE448B" w:rsidRPr="00C379C8" w:rsidRDefault="00932B55" w:rsidP="00DC10D1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Adds to paragraph 105 dealing with the marking, requirements for</w:t>
            </w:r>
            <w:r w:rsidR="00DC10D1">
              <w:t xml:space="preserve"> </w:t>
            </w:r>
            <w:r w:rsidRPr="00C379C8">
              <w:t>wood chipboard</w:t>
            </w:r>
            <w:r>
              <w:t xml:space="preserve">s  </w:t>
            </w:r>
            <w:r w:rsidRPr="00C379C8">
              <w:t>emitting a reduced amount of formaldehyde and refers to the New Annex B (Informative);</w:t>
            </w:r>
          </w:p>
          <w:p w:rsidR="00FE448B" w:rsidRPr="00C379C8" w:rsidRDefault="00932B55" w:rsidP="00DC10D1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Replaces paragraph 220 dealing with the emitting amount of</w:t>
            </w:r>
            <w:r w:rsidR="00DC10D1">
              <w:t xml:space="preserve"> </w:t>
            </w:r>
            <w:r w:rsidRPr="00C379C8">
              <w:t>formaldehyde.</w:t>
            </w:r>
          </w:p>
          <w:p w:rsidR="00FE448B" w:rsidRPr="00C379C8" w:rsidRDefault="00932B55" w:rsidP="00DC10D1">
            <w:pPr>
              <w:spacing w:after="120"/>
            </w:pPr>
            <w:r w:rsidRPr="00C379C8">
              <w:t>Both the old standard and the new amended standard will apply from the date of entry into force of this amendment for a period of 6 months. During this time, products may be tested according to the old standard or the new amended standard.</w:t>
            </w:r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DC10D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32B55" w:rsidP="00DC10D1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A24C5" w:rsidRPr="002F6A28" w:rsidRDefault="00932B55" w:rsidP="00DC10D1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Mandatory Standard SI 887 part 3 (April 1989) and its Amendment 1 (March 1990), Amendment 3 (August 1995) and Amendment 4 (October 2013);</w:t>
            </w:r>
          </w:p>
          <w:p w:rsidR="00EA24C5" w:rsidRPr="002F6A28" w:rsidRDefault="00932B55" w:rsidP="00DC10D1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European Standard EN 717-2: November 1994 + AC: July 2002.</w:t>
            </w:r>
          </w:p>
        </w:tc>
      </w:tr>
      <w:tr w:rsidR="0075791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32B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32B5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932B5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Generally, 60 days after publication in Israel Official Gazette, Section of Government Notices</w:t>
            </w:r>
            <w:bookmarkEnd w:id="34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32B5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5791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32B5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32B5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A24C5" w:rsidRPr="002F6A28" w:rsidRDefault="00932B55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r w:rsidRPr="002F6A28">
              <w:t xml:space="preserve"> </w:t>
            </w:r>
          </w:p>
          <w:p w:rsidR="00EA24C5" w:rsidRPr="002F6A28" w:rsidRDefault="008C4C02" w:rsidP="00B16145">
            <w:pPr>
              <w:keepNext/>
              <w:keepLines/>
              <w:spacing w:before="120" w:after="120"/>
            </w:pPr>
            <w:hyperlink r:id="rId9" w:history="1">
              <w:r w:rsidR="00932B55" w:rsidRPr="002F6A28">
                <w:rPr>
                  <w:color w:val="0000FF"/>
                  <w:u w:val="single"/>
                </w:rPr>
                <w:t>https://members.wto.org/crnattachments/2020/TBT/ISR/20_4555_00_x.pdf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7C" w:rsidRDefault="00932B55">
      <w:r>
        <w:separator/>
      </w:r>
    </w:p>
  </w:endnote>
  <w:endnote w:type="continuationSeparator" w:id="0">
    <w:p w:rsidR="009F787C" w:rsidRDefault="0093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2B5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2B5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32B5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7C" w:rsidRDefault="00932B55">
      <w:r>
        <w:separator/>
      </w:r>
    </w:p>
  </w:footnote>
  <w:footnote w:type="continuationSeparator" w:id="0">
    <w:p w:rsidR="009F787C" w:rsidRDefault="0093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2B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32B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32B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G/TBT/N/ISR/1160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32B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791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5791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C4C02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5791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32B5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G/TBT/N/ISR/1160</w:t>
          </w:r>
          <w:bookmarkEnd w:id="43"/>
        </w:p>
      </w:tc>
    </w:tr>
    <w:tr w:rsidR="0075791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32B5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July 2020</w:t>
          </w:r>
        </w:p>
      </w:tc>
    </w:tr>
    <w:tr w:rsidR="0075791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32B5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C4C02">
            <w:rPr>
              <w:color w:val="FF0000"/>
              <w:szCs w:val="16"/>
            </w:rPr>
            <w:t>5221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32B5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5791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32B5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32B5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E2B8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A8C3B2" w:tentative="1">
      <w:start w:val="1"/>
      <w:numFmt w:val="lowerLetter"/>
      <w:lvlText w:val="%2."/>
      <w:lvlJc w:val="left"/>
      <w:pPr>
        <w:ind w:left="1080" w:hanging="360"/>
      </w:pPr>
    </w:lvl>
    <w:lvl w:ilvl="2" w:tplc="229035EA" w:tentative="1">
      <w:start w:val="1"/>
      <w:numFmt w:val="lowerRoman"/>
      <w:lvlText w:val="%3."/>
      <w:lvlJc w:val="right"/>
      <w:pPr>
        <w:ind w:left="1800" w:hanging="180"/>
      </w:pPr>
    </w:lvl>
    <w:lvl w:ilvl="3" w:tplc="D25CC358" w:tentative="1">
      <w:start w:val="1"/>
      <w:numFmt w:val="decimal"/>
      <w:lvlText w:val="%4."/>
      <w:lvlJc w:val="left"/>
      <w:pPr>
        <w:ind w:left="2520" w:hanging="360"/>
      </w:pPr>
    </w:lvl>
    <w:lvl w:ilvl="4" w:tplc="8AC65430" w:tentative="1">
      <w:start w:val="1"/>
      <w:numFmt w:val="lowerLetter"/>
      <w:lvlText w:val="%5."/>
      <w:lvlJc w:val="left"/>
      <w:pPr>
        <w:ind w:left="3240" w:hanging="360"/>
      </w:pPr>
    </w:lvl>
    <w:lvl w:ilvl="5" w:tplc="29B20B18" w:tentative="1">
      <w:start w:val="1"/>
      <w:numFmt w:val="lowerRoman"/>
      <w:lvlText w:val="%6."/>
      <w:lvlJc w:val="right"/>
      <w:pPr>
        <w:ind w:left="3960" w:hanging="180"/>
      </w:pPr>
    </w:lvl>
    <w:lvl w:ilvl="6" w:tplc="FA46DAB2" w:tentative="1">
      <w:start w:val="1"/>
      <w:numFmt w:val="decimal"/>
      <w:lvlText w:val="%7."/>
      <w:lvlJc w:val="left"/>
      <w:pPr>
        <w:ind w:left="4680" w:hanging="360"/>
      </w:pPr>
    </w:lvl>
    <w:lvl w:ilvl="7" w:tplc="6410202C" w:tentative="1">
      <w:start w:val="1"/>
      <w:numFmt w:val="lowerLetter"/>
      <w:lvlText w:val="%8."/>
      <w:lvlJc w:val="left"/>
      <w:pPr>
        <w:ind w:left="5400" w:hanging="360"/>
      </w:pPr>
    </w:lvl>
    <w:lvl w:ilvl="8" w:tplc="A1DE68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24AA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F0F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8EC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02C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C64C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A03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7C1A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2CC9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B0F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FD5433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F80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B80A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566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3E0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8CA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0EB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841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287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53D0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5791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4C02"/>
    <w:rsid w:val="008E372C"/>
    <w:rsid w:val="008E67DC"/>
    <w:rsid w:val="009239F7"/>
    <w:rsid w:val="00932B55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9F787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10D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24C5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0A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Friedgut@economy.gov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ISR/20_4555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15b76a55-13cf-4e5e-8304-75d1d581026c</vt:lpwstr>
  </property>
  <property fmtid="{D5CDD505-2E9C-101B-9397-08002B2CF9AE}" pid="4" name="WTOCLASSIFICATION">
    <vt:lpwstr>WTO OFFICIAL</vt:lpwstr>
  </property>
</Properties>
</file>