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17E7E" w:rsidP="002F6A28">
      <w:pPr>
        <w:pStyle w:val="Title"/>
        <w:rPr>
          <w:caps w:val="0"/>
          <w:kern w:val="0"/>
        </w:rPr>
      </w:pPr>
      <w:r w:rsidRPr="002F6A28">
        <w:rPr>
          <w:caps w:val="0"/>
          <w:kern w:val="0"/>
        </w:rPr>
        <w:t>NOTIFICATION</w:t>
      </w:r>
    </w:p>
    <w:p w:rsidR="009239F7" w:rsidRPr="002F6A28" w:rsidRDefault="00617E7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943E9" w:rsidTr="0069259F">
        <w:tc>
          <w:tcPr>
            <w:tcW w:w="713" w:type="dxa"/>
            <w:tcBorders>
              <w:bottom w:val="single" w:sz="6" w:space="0" w:color="auto"/>
            </w:tcBorders>
            <w:shd w:val="clear" w:color="auto" w:fill="auto"/>
          </w:tcPr>
          <w:p w:rsidR="00F85C99" w:rsidRPr="002F6A28" w:rsidRDefault="00617E7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17E7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Israel</w:t>
            </w:r>
            <w:bookmarkEnd w:id="1"/>
            <w:r w:rsidRPr="002F6A28">
              <w:t xml:space="preserve"> </w:t>
            </w:r>
          </w:p>
          <w:p w:rsidR="00F85C99" w:rsidRPr="002F6A28" w:rsidRDefault="00617E7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943E9" w:rsidTr="0069259F">
        <w:tc>
          <w:tcPr>
            <w:tcW w:w="713" w:type="dxa"/>
            <w:tcBorders>
              <w:top w:val="single" w:sz="6" w:space="0" w:color="auto"/>
              <w:bottom w:val="single" w:sz="6" w:space="0" w:color="auto"/>
            </w:tcBorders>
            <w:shd w:val="clear" w:color="auto" w:fill="auto"/>
          </w:tcPr>
          <w:p w:rsidR="00F85C99" w:rsidRPr="002F6A28" w:rsidRDefault="00617E7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17E7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Israel WTO-TBT Enquiry Point</w:t>
            </w:r>
            <w:bookmarkEnd w:id="5"/>
          </w:p>
          <w:p w:rsidR="00F85C99" w:rsidRPr="002F6A28" w:rsidRDefault="00617E7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4943E9" w:rsidRPr="002F6A28" w:rsidRDefault="00617E7E" w:rsidP="00AA646C">
            <w:pPr>
              <w:spacing w:after="120"/>
              <w:jc w:val="left"/>
            </w:pPr>
            <w:r w:rsidRPr="002F6A28">
              <w:t xml:space="preserve">Israel WTO-TBT Enquiry Point </w:t>
            </w:r>
            <w:r w:rsidRPr="002F6A28">
              <w:br/>
              <w:t>Ministry of Economy and Industry</w:t>
            </w:r>
            <w:r w:rsidRPr="002F6A28">
              <w:br/>
              <w:t>Tel: + (972) 3 7347501</w:t>
            </w:r>
            <w:r w:rsidRPr="002F6A28">
              <w:br/>
              <w:t xml:space="preserve">E-mail: </w:t>
            </w:r>
            <w:hyperlink r:id="rId7" w:history="1">
              <w:r w:rsidRPr="002F6A28">
                <w:rPr>
                  <w:color w:val="0000FF"/>
                  <w:u w:val="single"/>
                </w:rPr>
                <w:t>Yael.Friedgut@economy.gov.il</w:t>
              </w:r>
            </w:hyperlink>
            <w:bookmarkEnd w:id="7"/>
          </w:p>
        </w:tc>
      </w:tr>
      <w:tr w:rsidR="004943E9" w:rsidTr="0069259F">
        <w:tc>
          <w:tcPr>
            <w:tcW w:w="713" w:type="dxa"/>
            <w:tcBorders>
              <w:top w:val="single" w:sz="6" w:space="0" w:color="auto"/>
              <w:bottom w:val="single" w:sz="6" w:space="0" w:color="auto"/>
            </w:tcBorders>
            <w:shd w:val="clear" w:color="auto" w:fill="auto"/>
          </w:tcPr>
          <w:p w:rsidR="00F85C99" w:rsidRPr="002F6A28" w:rsidRDefault="00617E7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17E7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943E9" w:rsidTr="0069259F">
        <w:tc>
          <w:tcPr>
            <w:tcW w:w="713" w:type="dxa"/>
            <w:tcBorders>
              <w:top w:val="single" w:sz="6" w:space="0" w:color="auto"/>
              <w:bottom w:val="single" w:sz="6" w:space="0" w:color="auto"/>
            </w:tcBorders>
            <w:shd w:val="clear" w:color="auto" w:fill="auto"/>
          </w:tcPr>
          <w:p w:rsidR="00F85C99" w:rsidRPr="002F6A28" w:rsidRDefault="00617E7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17E7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Food in general; (ICS: 67.040)</w:t>
            </w:r>
            <w:bookmarkStart w:id="20" w:name="sps3a"/>
            <w:bookmarkEnd w:id="20"/>
          </w:p>
        </w:tc>
      </w:tr>
      <w:tr w:rsidR="004943E9" w:rsidTr="0069259F">
        <w:tc>
          <w:tcPr>
            <w:tcW w:w="713" w:type="dxa"/>
            <w:tcBorders>
              <w:top w:val="single" w:sz="6" w:space="0" w:color="auto"/>
              <w:bottom w:val="single" w:sz="6" w:space="0" w:color="auto"/>
            </w:tcBorders>
            <w:shd w:val="clear" w:color="auto" w:fill="auto"/>
          </w:tcPr>
          <w:p w:rsidR="00F85C99" w:rsidRPr="002F6A28" w:rsidRDefault="00617E7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17E7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Protection of Public Health Regulations (Food) (Maximum levels of polycyclic aromatic hydrocarbons in foods) 5780-2020 (2 page(s), in Hebrew)</w:t>
            </w:r>
            <w:bookmarkStart w:id="22" w:name="sps5a"/>
            <w:bookmarkStart w:id="23" w:name="sps5c"/>
            <w:bookmarkStart w:id="24" w:name="sps5b"/>
            <w:bookmarkEnd w:id="22"/>
            <w:bookmarkEnd w:id="23"/>
            <w:bookmarkEnd w:id="24"/>
          </w:p>
        </w:tc>
      </w:tr>
      <w:tr w:rsidR="004943E9" w:rsidTr="0069259F">
        <w:tc>
          <w:tcPr>
            <w:tcW w:w="713" w:type="dxa"/>
            <w:tcBorders>
              <w:top w:val="single" w:sz="6" w:space="0" w:color="auto"/>
              <w:bottom w:val="single" w:sz="6" w:space="0" w:color="auto"/>
            </w:tcBorders>
            <w:shd w:val="clear" w:color="auto" w:fill="auto"/>
          </w:tcPr>
          <w:p w:rsidR="00F85C99" w:rsidRPr="002F6A28" w:rsidRDefault="00617E7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17E7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New draft regulations announced by Israel's Ministry of Health called "Protection of Public Health Regulations (Food) (Maximum levels of polycyclic aromatic hydrocarbons in foods) 5780-2020", that will replace relevant guidelines. These regulations set the maximum allowed levels of polycyclic aromatic hydrocarbons (PAHs) compounds in different food categories. The regulations determine that anybody dealing with food shall not manufacture, import, or sell food that was smoked in burning unless:</w:t>
            </w:r>
          </w:p>
          <w:p w:rsidR="00FE448B" w:rsidRPr="00C379C8" w:rsidRDefault="00617E7E" w:rsidP="002F6A28">
            <w:pPr>
              <w:numPr>
                <w:ilvl w:val="0"/>
                <w:numId w:val="16"/>
              </w:numPr>
              <w:spacing w:before="120" w:after="120"/>
              <w:jc w:val="left"/>
            </w:pPr>
            <w:r w:rsidRPr="00C379C8">
              <w:t>During the smoking process, there was no use of processed woods, including sawdust or wood chips treated with chemicals;</w:t>
            </w:r>
          </w:p>
          <w:p w:rsidR="00FE448B" w:rsidRPr="00C379C8" w:rsidRDefault="00617E7E" w:rsidP="002F6A28">
            <w:pPr>
              <w:numPr>
                <w:ilvl w:val="0"/>
                <w:numId w:val="16"/>
              </w:numPr>
              <w:spacing w:before="120" w:after="120"/>
              <w:jc w:val="left"/>
            </w:pPr>
            <w:r w:rsidRPr="00C379C8">
              <w:t>During the smoking process, there was no use of the following fuels: Diesel, old tires, and/or petroleum products.</w:t>
            </w:r>
          </w:p>
          <w:p w:rsidR="00FE448B" w:rsidRPr="00C379C8" w:rsidRDefault="00617E7E" w:rsidP="002F6A28">
            <w:pPr>
              <w:spacing w:after="120"/>
            </w:pPr>
            <w:r w:rsidRPr="00C379C8">
              <w:t>The Regulation's Annex (Regulation 2) provides the allowed levels of polycyclic aromatic hydrocarbons (PAHs) in foods in µg/Kg.</w:t>
            </w:r>
          </w:p>
          <w:p w:rsidR="00FE448B" w:rsidRPr="00C379C8" w:rsidRDefault="00617E7E" w:rsidP="002F6A28">
            <w:pPr>
              <w:spacing w:after="120"/>
            </w:pPr>
            <w:r w:rsidRPr="00C379C8">
              <w:t>The Public Health Protection Act (Food) stipulates that any directive and procedure instruction of The National Food Service, setting out safety and quality requirements for food, published on the website on the eve of the commencement of this Act shall continue to apply and be regarded as "Food Regulations" until regulations are enacted to replace them.</w:t>
            </w:r>
          </w:p>
        </w:tc>
      </w:tr>
      <w:tr w:rsidR="004943E9" w:rsidTr="0069259F">
        <w:tc>
          <w:tcPr>
            <w:tcW w:w="713" w:type="dxa"/>
            <w:tcBorders>
              <w:top w:val="single" w:sz="6" w:space="0" w:color="auto"/>
              <w:bottom w:val="single" w:sz="6" w:space="0" w:color="auto"/>
            </w:tcBorders>
            <w:shd w:val="clear" w:color="auto" w:fill="auto"/>
          </w:tcPr>
          <w:p w:rsidR="00F85C99" w:rsidRPr="002F6A28" w:rsidRDefault="00617E7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17E7E"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4943E9" w:rsidTr="0069259F">
        <w:tc>
          <w:tcPr>
            <w:tcW w:w="713" w:type="dxa"/>
            <w:tcBorders>
              <w:top w:val="single" w:sz="6" w:space="0" w:color="auto"/>
              <w:bottom w:val="single" w:sz="6" w:space="0" w:color="auto"/>
            </w:tcBorders>
            <w:shd w:val="clear" w:color="auto" w:fill="auto"/>
          </w:tcPr>
          <w:p w:rsidR="00F85C99" w:rsidRPr="002F6A28" w:rsidRDefault="00617E7E"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617E7E"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4943E9" w:rsidRPr="002F6A28" w:rsidRDefault="00617E7E" w:rsidP="009E75ED">
            <w:pPr>
              <w:numPr>
                <w:ilvl w:val="0"/>
                <w:numId w:val="17"/>
              </w:numPr>
              <w:spacing w:before="120" w:after="120"/>
              <w:jc w:val="left"/>
              <w:rPr>
                <w:bCs/>
              </w:rPr>
            </w:pPr>
            <w:r w:rsidRPr="002F6A28">
              <w:rPr>
                <w:bCs/>
              </w:rPr>
              <w:t>Regulatory Impact Analysis (RIA);</w:t>
            </w:r>
          </w:p>
          <w:p w:rsidR="004943E9" w:rsidRPr="002F6A28" w:rsidRDefault="00617E7E" w:rsidP="009E75ED">
            <w:pPr>
              <w:numPr>
                <w:ilvl w:val="0"/>
                <w:numId w:val="17"/>
              </w:numPr>
              <w:spacing w:before="120" w:after="120"/>
              <w:jc w:val="left"/>
              <w:rPr>
                <w:bCs/>
              </w:rPr>
            </w:pPr>
            <w:r w:rsidRPr="002F6A28">
              <w:rPr>
                <w:bCs/>
              </w:rPr>
              <w:t>Protection of Public Health Law (Food) 5775-2015.</w:t>
            </w:r>
          </w:p>
        </w:tc>
      </w:tr>
      <w:tr w:rsidR="004943E9" w:rsidTr="00AE6CC8">
        <w:trPr>
          <w:cantSplit/>
        </w:trPr>
        <w:tc>
          <w:tcPr>
            <w:tcW w:w="713" w:type="dxa"/>
            <w:tcBorders>
              <w:top w:val="single" w:sz="6" w:space="0" w:color="auto"/>
              <w:bottom w:val="single" w:sz="6" w:space="0" w:color="auto"/>
            </w:tcBorders>
            <w:shd w:val="clear" w:color="auto" w:fill="auto"/>
          </w:tcPr>
          <w:p w:rsidR="00EE3A11" w:rsidRPr="002F6A28" w:rsidRDefault="00617E7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17E7E"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617E7E"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4943E9" w:rsidTr="0069259F">
        <w:tc>
          <w:tcPr>
            <w:tcW w:w="713" w:type="dxa"/>
            <w:tcBorders>
              <w:top w:val="single" w:sz="6" w:space="0" w:color="auto"/>
              <w:bottom w:val="single" w:sz="6" w:space="0" w:color="auto"/>
            </w:tcBorders>
            <w:shd w:val="clear" w:color="auto" w:fill="auto"/>
          </w:tcPr>
          <w:p w:rsidR="00F85C99" w:rsidRPr="002F6A28" w:rsidRDefault="00617E7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17E7E"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4943E9" w:rsidTr="0069259F">
        <w:tc>
          <w:tcPr>
            <w:tcW w:w="713" w:type="dxa"/>
            <w:tcBorders>
              <w:top w:val="single" w:sz="6" w:space="0" w:color="auto"/>
            </w:tcBorders>
            <w:shd w:val="clear" w:color="auto" w:fill="auto"/>
          </w:tcPr>
          <w:p w:rsidR="00F85C99" w:rsidRPr="002F6A28" w:rsidRDefault="00617E7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617E7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4943E9" w:rsidRPr="002F6A28" w:rsidRDefault="00617E7E" w:rsidP="00B16145">
            <w:pPr>
              <w:keepNext/>
              <w:keepLines/>
              <w:spacing w:before="120" w:after="120"/>
              <w:jc w:val="left"/>
            </w:pPr>
            <w:r w:rsidRPr="002F6A28">
              <w:t xml:space="preserve">Israel's WTO-TBT Enquiry Point </w:t>
            </w:r>
            <w:r w:rsidRPr="002F6A28">
              <w:br/>
            </w:r>
            <w:hyperlink r:id="rId8" w:history="1">
              <w:r w:rsidRPr="002F6A28">
                <w:rPr>
                  <w:color w:val="0000FF"/>
                  <w:u w:val="single"/>
                </w:rPr>
                <w:t>Yael.Friedgut@economy.gov.il</w:t>
              </w:r>
            </w:hyperlink>
            <w:r w:rsidRPr="002F6A28">
              <w:t xml:space="preserve"> </w:t>
            </w:r>
            <w:r w:rsidRPr="002F6A28">
              <w:br/>
            </w:r>
            <w:r w:rsidRPr="002F6A28">
              <w:br/>
            </w:r>
          </w:p>
          <w:p w:rsidR="004943E9" w:rsidRPr="002F6A28" w:rsidRDefault="00B7049D" w:rsidP="00B16145">
            <w:pPr>
              <w:keepNext/>
              <w:keepLines/>
              <w:spacing w:before="120" w:after="120"/>
              <w:jc w:val="left"/>
            </w:pPr>
            <w:hyperlink r:id="rId9" w:history="1">
              <w:r w:rsidR="00617E7E" w:rsidRPr="002F6A28">
                <w:rPr>
                  <w:color w:val="0000FF"/>
                  <w:u w:val="single"/>
                </w:rPr>
                <w:t>https://members.wto.org/crnattachments/2020/TBT/ISR/20_4528_00_x.pdf</w:t>
              </w:r>
            </w:hyperlink>
            <w:r w:rsidR="00617E7E" w:rsidRPr="002F6A28">
              <w:br/>
            </w:r>
            <w:hyperlink r:id="rId10" w:history="1">
              <w:r w:rsidR="00617E7E" w:rsidRPr="002F6A28">
                <w:rPr>
                  <w:color w:val="0000FF"/>
                  <w:u w:val="single"/>
                </w:rPr>
                <w:t>https://members.wto.org/crnattachments/2020/TBT/ISR/20_4528_01_x.pdf</w:t>
              </w:r>
            </w:hyperlink>
            <w:bookmarkEnd w:id="40"/>
          </w:p>
        </w:tc>
      </w:tr>
    </w:tbl>
    <w:p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1AC" w:rsidRDefault="00617E7E">
      <w:r>
        <w:separator/>
      </w:r>
    </w:p>
  </w:endnote>
  <w:endnote w:type="continuationSeparator" w:id="0">
    <w:p w:rsidR="007201AC" w:rsidRDefault="0061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17E7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17E7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17E7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1AC" w:rsidRDefault="00617E7E">
      <w:r>
        <w:separator/>
      </w:r>
    </w:p>
  </w:footnote>
  <w:footnote w:type="continuationSeparator" w:id="0">
    <w:p w:rsidR="007201AC" w:rsidRDefault="0061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17E7E"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617E7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17E7E" w:rsidP="009239F7">
    <w:pPr>
      <w:pStyle w:val="Header"/>
      <w:pBdr>
        <w:bottom w:val="single" w:sz="4" w:space="1" w:color="auto"/>
      </w:pBdr>
      <w:tabs>
        <w:tab w:val="clear" w:pos="4513"/>
        <w:tab w:val="clear" w:pos="9027"/>
      </w:tabs>
      <w:jc w:val="center"/>
    </w:pPr>
    <w:bookmarkStart w:id="41" w:name="spsSymbolHeader"/>
    <w:r w:rsidRPr="002F6A28">
      <w:t>G/TBT/N/ISR/1153</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617E7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43E9"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4943E9" w:rsidTr="008612A9">
      <w:trPr>
        <w:trHeight w:val="213"/>
        <w:jc w:val="center"/>
      </w:trPr>
      <w:tc>
        <w:tcPr>
          <w:tcW w:w="3794" w:type="dxa"/>
          <w:vMerge w:val="restart"/>
          <w:shd w:val="clear" w:color="auto" w:fill="FFFFFF"/>
          <w:tcMar>
            <w:left w:w="0" w:type="dxa"/>
            <w:right w:w="0" w:type="dxa"/>
          </w:tcMar>
        </w:tcPr>
        <w:p w:rsidR="00ED54E0" w:rsidRPr="009239F7" w:rsidRDefault="00B7049D"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943E9"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617E7E" w:rsidP="00B801E9">
          <w:pPr>
            <w:jc w:val="right"/>
            <w:rPr>
              <w:b/>
              <w:szCs w:val="16"/>
            </w:rPr>
          </w:pPr>
          <w:bookmarkStart w:id="43" w:name="bmkSymbols"/>
          <w:r w:rsidRPr="002F6A28">
            <w:rPr>
              <w:b/>
              <w:szCs w:val="16"/>
            </w:rPr>
            <w:t>G/TBT/N/ISR/1153</w:t>
          </w:r>
          <w:bookmarkEnd w:id="43"/>
        </w:p>
      </w:tc>
    </w:tr>
    <w:tr w:rsidR="004943E9"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17E7E" w:rsidP="00B801E9">
          <w:pPr>
            <w:jc w:val="right"/>
            <w:rPr>
              <w:szCs w:val="16"/>
            </w:rPr>
          </w:pPr>
          <w:bookmarkStart w:id="44" w:name="spsDateDistribution"/>
          <w:bookmarkStart w:id="45" w:name="bmkDate"/>
          <w:bookmarkEnd w:id="44"/>
          <w:bookmarkEnd w:id="45"/>
          <w:r>
            <w:rPr>
              <w:szCs w:val="16"/>
            </w:rPr>
            <w:t>27 July 2020</w:t>
          </w:r>
        </w:p>
      </w:tc>
    </w:tr>
    <w:tr w:rsidR="004943E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17E7E"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B7049D">
            <w:rPr>
              <w:color w:val="FF0000"/>
              <w:szCs w:val="16"/>
            </w:rPr>
            <w:t>5169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617E7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943E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17E7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617E7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7E9EC4">
      <w:start w:val="1"/>
      <w:numFmt w:val="decimal"/>
      <w:pStyle w:val="SummaryText"/>
      <w:lvlText w:val="%1."/>
      <w:lvlJc w:val="left"/>
      <w:pPr>
        <w:ind w:left="360" w:hanging="360"/>
      </w:pPr>
    </w:lvl>
    <w:lvl w:ilvl="1" w:tplc="69F08594" w:tentative="1">
      <w:start w:val="1"/>
      <w:numFmt w:val="lowerLetter"/>
      <w:lvlText w:val="%2."/>
      <w:lvlJc w:val="left"/>
      <w:pPr>
        <w:ind w:left="1080" w:hanging="360"/>
      </w:pPr>
    </w:lvl>
    <w:lvl w:ilvl="2" w:tplc="EF80A1D0" w:tentative="1">
      <w:start w:val="1"/>
      <w:numFmt w:val="lowerRoman"/>
      <w:lvlText w:val="%3."/>
      <w:lvlJc w:val="right"/>
      <w:pPr>
        <w:ind w:left="1800" w:hanging="180"/>
      </w:pPr>
    </w:lvl>
    <w:lvl w:ilvl="3" w:tplc="5204EED8" w:tentative="1">
      <w:start w:val="1"/>
      <w:numFmt w:val="decimal"/>
      <w:lvlText w:val="%4."/>
      <w:lvlJc w:val="left"/>
      <w:pPr>
        <w:ind w:left="2520" w:hanging="360"/>
      </w:pPr>
    </w:lvl>
    <w:lvl w:ilvl="4" w:tplc="9A4830B6" w:tentative="1">
      <w:start w:val="1"/>
      <w:numFmt w:val="lowerLetter"/>
      <w:lvlText w:val="%5."/>
      <w:lvlJc w:val="left"/>
      <w:pPr>
        <w:ind w:left="3240" w:hanging="360"/>
      </w:pPr>
    </w:lvl>
    <w:lvl w:ilvl="5" w:tplc="27A07B70" w:tentative="1">
      <w:start w:val="1"/>
      <w:numFmt w:val="lowerRoman"/>
      <w:lvlText w:val="%6."/>
      <w:lvlJc w:val="right"/>
      <w:pPr>
        <w:ind w:left="3960" w:hanging="180"/>
      </w:pPr>
    </w:lvl>
    <w:lvl w:ilvl="6" w:tplc="EAC2BAC6" w:tentative="1">
      <w:start w:val="1"/>
      <w:numFmt w:val="decimal"/>
      <w:lvlText w:val="%7."/>
      <w:lvlJc w:val="left"/>
      <w:pPr>
        <w:ind w:left="4680" w:hanging="360"/>
      </w:pPr>
    </w:lvl>
    <w:lvl w:ilvl="7" w:tplc="EAAA0C0E" w:tentative="1">
      <w:start w:val="1"/>
      <w:numFmt w:val="lowerLetter"/>
      <w:lvlText w:val="%8."/>
      <w:lvlJc w:val="left"/>
      <w:pPr>
        <w:ind w:left="5400" w:hanging="360"/>
      </w:pPr>
    </w:lvl>
    <w:lvl w:ilvl="8" w:tplc="B278386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6DC2456">
      <w:start w:val="1"/>
      <w:numFmt w:val="bullet"/>
      <w:lvlText w:val=""/>
      <w:lvlJc w:val="left"/>
      <w:pPr>
        <w:ind w:left="720" w:hanging="360"/>
      </w:pPr>
      <w:rPr>
        <w:rFonts w:ascii="Symbol" w:hAnsi="Symbol"/>
      </w:rPr>
    </w:lvl>
    <w:lvl w:ilvl="1" w:tplc="819A74E0">
      <w:start w:val="1"/>
      <w:numFmt w:val="bullet"/>
      <w:lvlText w:val="o"/>
      <w:lvlJc w:val="left"/>
      <w:pPr>
        <w:tabs>
          <w:tab w:val="num" w:pos="1440"/>
        </w:tabs>
        <w:ind w:left="1440" w:hanging="360"/>
      </w:pPr>
      <w:rPr>
        <w:rFonts w:ascii="Courier New" w:hAnsi="Courier New"/>
      </w:rPr>
    </w:lvl>
    <w:lvl w:ilvl="2" w:tplc="2536D78C">
      <w:start w:val="1"/>
      <w:numFmt w:val="bullet"/>
      <w:lvlText w:val=""/>
      <w:lvlJc w:val="left"/>
      <w:pPr>
        <w:tabs>
          <w:tab w:val="num" w:pos="2160"/>
        </w:tabs>
        <w:ind w:left="2160" w:hanging="360"/>
      </w:pPr>
      <w:rPr>
        <w:rFonts w:ascii="Wingdings" w:hAnsi="Wingdings"/>
      </w:rPr>
    </w:lvl>
    <w:lvl w:ilvl="3" w:tplc="BB1CA5DA">
      <w:start w:val="1"/>
      <w:numFmt w:val="bullet"/>
      <w:lvlText w:val=""/>
      <w:lvlJc w:val="left"/>
      <w:pPr>
        <w:tabs>
          <w:tab w:val="num" w:pos="2880"/>
        </w:tabs>
        <w:ind w:left="2880" w:hanging="360"/>
      </w:pPr>
      <w:rPr>
        <w:rFonts w:ascii="Symbol" w:hAnsi="Symbol"/>
      </w:rPr>
    </w:lvl>
    <w:lvl w:ilvl="4" w:tplc="3AA2D832">
      <w:start w:val="1"/>
      <w:numFmt w:val="bullet"/>
      <w:lvlText w:val="o"/>
      <w:lvlJc w:val="left"/>
      <w:pPr>
        <w:tabs>
          <w:tab w:val="num" w:pos="3600"/>
        </w:tabs>
        <w:ind w:left="3600" w:hanging="360"/>
      </w:pPr>
      <w:rPr>
        <w:rFonts w:ascii="Courier New" w:hAnsi="Courier New"/>
      </w:rPr>
    </w:lvl>
    <w:lvl w:ilvl="5" w:tplc="AC967ADA">
      <w:start w:val="1"/>
      <w:numFmt w:val="bullet"/>
      <w:lvlText w:val=""/>
      <w:lvlJc w:val="left"/>
      <w:pPr>
        <w:tabs>
          <w:tab w:val="num" w:pos="4320"/>
        </w:tabs>
        <w:ind w:left="4320" w:hanging="360"/>
      </w:pPr>
      <w:rPr>
        <w:rFonts w:ascii="Wingdings" w:hAnsi="Wingdings"/>
      </w:rPr>
    </w:lvl>
    <w:lvl w:ilvl="6" w:tplc="5A083D40">
      <w:start w:val="1"/>
      <w:numFmt w:val="bullet"/>
      <w:lvlText w:val=""/>
      <w:lvlJc w:val="left"/>
      <w:pPr>
        <w:tabs>
          <w:tab w:val="num" w:pos="5040"/>
        </w:tabs>
        <w:ind w:left="5040" w:hanging="360"/>
      </w:pPr>
      <w:rPr>
        <w:rFonts w:ascii="Symbol" w:hAnsi="Symbol"/>
      </w:rPr>
    </w:lvl>
    <w:lvl w:ilvl="7" w:tplc="41BE7C68">
      <w:start w:val="1"/>
      <w:numFmt w:val="bullet"/>
      <w:lvlText w:val="o"/>
      <w:lvlJc w:val="left"/>
      <w:pPr>
        <w:tabs>
          <w:tab w:val="num" w:pos="5760"/>
        </w:tabs>
        <w:ind w:left="5760" w:hanging="360"/>
      </w:pPr>
      <w:rPr>
        <w:rFonts w:ascii="Courier New" w:hAnsi="Courier New"/>
      </w:rPr>
    </w:lvl>
    <w:lvl w:ilvl="8" w:tplc="28326E84">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8BCED50A">
      <w:start w:val="1"/>
      <w:numFmt w:val="bullet"/>
      <w:lvlText w:val=""/>
      <w:lvlJc w:val="left"/>
      <w:pPr>
        <w:ind w:left="720" w:hanging="360"/>
      </w:pPr>
      <w:rPr>
        <w:rFonts w:ascii="Symbol" w:hAnsi="Symbol"/>
      </w:rPr>
    </w:lvl>
    <w:lvl w:ilvl="1" w:tplc="5C1E7416">
      <w:start w:val="1"/>
      <w:numFmt w:val="bullet"/>
      <w:lvlText w:val="o"/>
      <w:lvlJc w:val="left"/>
      <w:pPr>
        <w:tabs>
          <w:tab w:val="num" w:pos="1440"/>
        </w:tabs>
        <w:ind w:left="1440" w:hanging="360"/>
      </w:pPr>
      <w:rPr>
        <w:rFonts w:ascii="Courier New" w:hAnsi="Courier New"/>
      </w:rPr>
    </w:lvl>
    <w:lvl w:ilvl="2" w:tplc="D09ECF40">
      <w:start w:val="1"/>
      <w:numFmt w:val="bullet"/>
      <w:lvlText w:val=""/>
      <w:lvlJc w:val="left"/>
      <w:pPr>
        <w:tabs>
          <w:tab w:val="num" w:pos="2160"/>
        </w:tabs>
        <w:ind w:left="2160" w:hanging="360"/>
      </w:pPr>
      <w:rPr>
        <w:rFonts w:ascii="Wingdings" w:hAnsi="Wingdings"/>
      </w:rPr>
    </w:lvl>
    <w:lvl w:ilvl="3" w:tplc="534E5312">
      <w:start w:val="1"/>
      <w:numFmt w:val="bullet"/>
      <w:lvlText w:val=""/>
      <w:lvlJc w:val="left"/>
      <w:pPr>
        <w:tabs>
          <w:tab w:val="num" w:pos="2880"/>
        </w:tabs>
        <w:ind w:left="2880" w:hanging="360"/>
      </w:pPr>
      <w:rPr>
        <w:rFonts w:ascii="Symbol" w:hAnsi="Symbol"/>
      </w:rPr>
    </w:lvl>
    <w:lvl w:ilvl="4" w:tplc="739C8952">
      <w:start w:val="1"/>
      <w:numFmt w:val="bullet"/>
      <w:lvlText w:val="o"/>
      <w:lvlJc w:val="left"/>
      <w:pPr>
        <w:tabs>
          <w:tab w:val="num" w:pos="3600"/>
        </w:tabs>
        <w:ind w:left="3600" w:hanging="360"/>
      </w:pPr>
      <w:rPr>
        <w:rFonts w:ascii="Courier New" w:hAnsi="Courier New"/>
      </w:rPr>
    </w:lvl>
    <w:lvl w:ilvl="5" w:tplc="B1FCA388">
      <w:start w:val="1"/>
      <w:numFmt w:val="bullet"/>
      <w:lvlText w:val=""/>
      <w:lvlJc w:val="left"/>
      <w:pPr>
        <w:tabs>
          <w:tab w:val="num" w:pos="4320"/>
        </w:tabs>
        <w:ind w:left="4320" w:hanging="360"/>
      </w:pPr>
      <w:rPr>
        <w:rFonts w:ascii="Wingdings" w:hAnsi="Wingdings"/>
      </w:rPr>
    </w:lvl>
    <w:lvl w:ilvl="6" w:tplc="22E06330">
      <w:start w:val="1"/>
      <w:numFmt w:val="bullet"/>
      <w:lvlText w:val=""/>
      <w:lvlJc w:val="left"/>
      <w:pPr>
        <w:tabs>
          <w:tab w:val="num" w:pos="5040"/>
        </w:tabs>
        <w:ind w:left="5040" w:hanging="360"/>
      </w:pPr>
      <w:rPr>
        <w:rFonts w:ascii="Symbol" w:hAnsi="Symbol"/>
      </w:rPr>
    </w:lvl>
    <w:lvl w:ilvl="7" w:tplc="BD5E5F58">
      <w:start w:val="1"/>
      <w:numFmt w:val="bullet"/>
      <w:lvlText w:val="o"/>
      <w:lvlJc w:val="left"/>
      <w:pPr>
        <w:tabs>
          <w:tab w:val="num" w:pos="5760"/>
        </w:tabs>
        <w:ind w:left="5760" w:hanging="360"/>
      </w:pPr>
      <w:rPr>
        <w:rFonts w:ascii="Courier New" w:hAnsi="Courier New"/>
      </w:rPr>
    </w:lvl>
    <w:lvl w:ilvl="8" w:tplc="337C98E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943E9"/>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7E7E"/>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01AC"/>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049D"/>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A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TBT/ISR/20_4528_01_x.pdf" TargetMode="External"/><Relationship Id="rId4" Type="http://schemas.openxmlformats.org/officeDocument/2006/relationships/webSettings" Target="webSettings.xml"/><Relationship Id="rId9" Type="http://schemas.openxmlformats.org/officeDocument/2006/relationships/hyperlink" Target="https://members.wto.org/crnattachments/2020/TBT/ISR/20_4528_00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467</Words>
  <Characters>2868</Characters>
  <Application>Microsoft Office Word</Application>
  <DocSecurity>0</DocSecurity>
  <Lines>71</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64</cp:revision>
  <dcterms:created xsi:type="dcterms:W3CDTF">2017-07-03T10:42:00Z</dcterms:created>
  <dcterms:modified xsi:type="dcterms:W3CDTF">2020-07-27T10:50:00Z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4a2257b0-f2bb-4cec-8966-b91c96d0c932</vt:lpwstr>
  </property>
  <property fmtid="{D5CDD505-2E9C-101B-9397-08002B2CF9AE}" pid="4" name="WTOCLASSIFICATION">
    <vt:lpwstr>WTO OFFICIAL</vt:lpwstr>
  </property>
</Properties>
</file>