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EC08" w14:textId="77777777" w:rsidR="009239F7" w:rsidRPr="002F6A28" w:rsidRDefault="00F87D2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29BD615" w14:textId="77777777" w:rsidR="009239F7" w:rsidRPr="002F6A28" w:rsidRDefault="00F87D28" w:rsidP="002F6A28">
      <w:pPr>
        <w:jc w:val="center"/>
      </w:pPr>
      <w:r w:rsidRPr="002F6A28">
        <w:t>The following notification is being circulated in accordance with Article 10.6</w:t>
      </w:r>
    </w:p>
    <w:p w14:paraId="3F70C20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B077F8" w14:paraId="06ED972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3D0CE60" w14:textId="77777777" w:rsidR="00F85C99" w:rsidRPr="002F6A28" w:rsidRDefault="00F87D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C8A236C" w14:textId="77777777" w:rsidR="00F85C99" w:rsidRPr="002F6A28" w:rsidRDefault="00F87D2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Viet Nam</w:t>
            </w:r>
            <w:bookmarkEnd w:id="1"/>
            <w:r w:rsidRPr="002F6A28">
              <w:t xml:space="preserve"> </w:t>
            </w:r>
          </w:p>
          <w:p w14:paraId="3A7DCB50" w14:textId="77777777" w:rsidR="00F85C99" w:rsidRPr="002F6A28" w:rsidRDefault="00F87D2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077F8" w14:paraId="04361E6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D6E64" w14:textId="77777777" w:rsidR="00F85C99" w:rsidRPr="002F6A28" w:rsidRDefault="00F87D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0D263" w14:textId="77777777" w:rsidR="00F85C99" w:rsidRPr="002F6A28" w:rsidRDefault="00F87D2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F63F48F" w14:textId="77777777" w:rsidR="00AE0427" w:rsidRPr="002F6A28" w:rsidRDefault="00F87D28" w:rsidP="00155128">
            <w:pPr>
              <w:spacing w:before="120" w:after="120"/>
              <w:jc w:val="left"/>
            </w:pPr>
            <w:r w:rsidRPr="002F6A28">
              <w:t>Ministry of Information and Communications</w:t>
            </w:r>
            <w:bookmarkStart w:id="6" w:name="_GoBack"/>
            <w:bookmarkEnd w:id="6"/>
            <w:r w:rsidRPr="002F6A28">
              <w:br/>
              <w:t xml:space="preserve">Department of Science and Technology </w:t>
            </w:r>
            <w:r w:rsidRPr="002F6A28">
              <w:br/>
              <w:t xml:space="preserve">18 Nguyen Du Str., Hai Ba </w:t>
            </w:r>
            <w:proofErr w:type="spellStart"/>
            <w:r w:rsidRPr="002F6A28">
              <w:t>Trung</w:t>
            </w:r>
            <w:proofErr w:type="spellEnd"/>
            <w:r w:rsidRPr="002F6A28">
              <w:t xml:space="preserve"> Dist., Hanoi, Vietnam</w:t>
            </w:r>
            <w:r w:rsidRPr="002F6A28">
              <w:br/>
              <w:t>Tel (84-24) 38226580</w:t>
            </w:r>
            <w:r w:rsidRPr="002F6A28">
              <w:br/>
              <w:t>Fax: (84-24) 39437328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dxbinh@mic.gov.vn</w:t>
              </w:r>
            </w:hyperlink>
            <w:bookmarkEnd w:id="5"/>
          </w:p>
          <w:p w14:paraId="28A9EE90" w14:textId="77777777" w:rsidR="00F85C99" w:rsidRPr="002F6A28" w:rsidRDefault="00F87D28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1A31D146" w14:textId="77777777" w:rsidR="00AE0427" w:rsidRPr="002F6A28" w:rsidRDefault="00F87D28" w:rsidP="00AA646C">
            <w:pPr>
              <w:spacing w:after="120"/>
              <w:jc w:val="left"/>
            </w:pPr>
            <w:r w:rsidRPr="002F6A28">
              <w:t>Ministry of Information and Communications</w:t>
            </w:r>
            <w:r w:rsidRPr="002F6A28">
              <w:br/>
              <w:t xml:space="preserve">Vietnam Telecommunications Authority (VNTA) </w:t>
            </w:r>
            <w:r w:rsidRPr="002F6A28">
              <w:br/>
              <w:t xml:space="preserve">Duong </w:t>
            </w:r>
            <w:proofErr w:type="spellStart"/>
            <w:r w:rsidRPr="002F6A28">
              <w:t>Dinh</w:t>
            </w:r>
            <w:proofErr w:type="spellEnd"/>
            <w:r w:rsidRPr="002F6A28">
              <w:t xml:space="preserve"> Nghe Str., </w:t>
            </w:r>
            <w:proofErr w:type="spellStart"/>
            <w:r w:rsidRPr="002F6A28">
              <w:t>Cau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Giay</w:t>
            </w:r>
            <w:proofErr w:type="spellEnd"/>
            <w:r w:rsidRPr="002F6A28">
              <w:t xml:space="preserve"> Dist., Hanoi, Vietnam</w:t>
            </w:r>
            <w:r w:rsidRPr="002F6A28">
              <w:br/>
              <w:t>Tel (84-24) 39436608</w:t>
            </w:r>
            <w:r w:rsidRPr="002F6A28">
              <w:br/>
              <w:t>Fax: (84-24) 37820998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nxhai@vnta.gov.vn</w:t>
              </w:r>
            </w:hyperlink>
            <w:r w:rsidRPr="002F6A28">
              <w:t xml:space="preserve">; </w:t>
            </w:r>
            <w:hyperlink r:id="rId9" w:history="1">
              <w:r w:rsidRPr="002F6A28">
                <w:rPr>
                  <w:color w:val="0000FF"/>
                  <w:u w:val="single"/>
                </w:rPr>
                <w:t>nptuyen@vnta.gov.vn</w:t>
              </w:r>
            </w:hyperlink>
            <w:bookmarkEnd w:id="8"/>
          </w:p>
        </w:tc>
      </w:tr>
      <w:tr w:rsidR="00B077F8" w14:paraId="4FE7428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A3E0D" w14:textId="77777777" w:rsidR="00F85C99" w:rsidRPr="002F6A28" w:rsidRDefault="00F87D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B3543" w14:textId="77777777" w:rsidR="00F85C99" w:rsidRPr="0058336F" w:rsidRDefault="00F87D28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B077F8" w14:paraId="40A7A56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0F4C2" w14:textId="77777777" w:rsidR="00F85C99" w:rsidRPr="002F6A28" w:rsidRDefault="00F87D2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AB901" w14:textId="77777777" w:rsidR="00255247" w:rsidRDefault="00F87D28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Land Mobile User Equipment (UE) intended to be used in Vietnam. Land Mobile User Equipment must be E-UTRA FDD (4G/LTE) land mobile terminal equipment (HS code: 8517.12.00) and can integrate any or a combination of following functions: </w:t>
            </w:r>
          </w:p>
          <w:p w14:paraId="42C81F06" w14:textId="77777777" w:rsidR="00255247" w:rsidRDefault="00F87D28" w:rsidP="0054260C">
            <w:pPr>
              <w:numPr>
                <w:ilvl w:val="0"/>
                <w:numId w:val="17"/>
              </w:numPr>
              <w:spacing w:before="120" w:after="120"/>
            </w:pPr>
            <w:r w:rsidRPr="00C379C8">
              <w:t xml:space="preserve">W-CDMA land mobile terminal equipment </w:t>
            </w:r>
          </w:p>
          <w:p w14:paraId="125B03D9" w14:textId="77777777" w:rsidR="00255247" w:rsidRDefault="00F87D28" w:rsidP="0054260C">
            <w:pPr>
              <w:numPr>
                <w:ilvl w:val="0"/>
                <w:numId w:val="17"/>
              </w:numPr>
              <w:spacing w:before="120" w:after="120"/>
            </w:pPr>
            <w:r w:rsidRPr="00C379C8">
              <w:t xml:space="preserve">GSM land mobile terminal equipment </w:t>
            </w:r>
          </w:p>
          <w:p w14:paraId="48AF4711" w14:textId="77777777" w:rsidR="00255247" w:rsidRDefault="00F87D28" w:rsidP="0054260C">
            <w:pPr>
              <w:numPr>
                <w:ilvl w:val="0"/>
                <w:numId w:val="17"/>
              </w:numPr>
              <w:spacing w:before="120" w:after="120"/>
            </w:pPr>
            <w:r w:rsidRPr="00C379C8">
              <w:t xml:space="preserve">5G land mobile terminal equipment </w:t>
            </w:r>
          </w:p>
          <w:p w14:paraId="0746299A" w14:textId="77777777" w:rsidR="00255247" w:rsidRDefault="00F87D28" w:rsidP="0054260C">
            <w:pPr>
              <w:numPr>
                <w:ilvl w:val="0"/>
                <w:numId w:val="17"/>
              </w:numPr>
              <w:spacing w:before="120" w:after="120"/>
            </w:pPr>
            <w:r w:rsidRPr="00C379C8">
              <w:t xml:space="preserve">radio equipment operating in the 2.4 GHz band and using spread spectrum modulation techniques </w:t>
            </w:r>
          </w:p>
          <w:p w14:paraId="29B6A4EE" w14:textId="77777777" w:rsidR="00255247" w:rsidRDefault="00F87D28" w:rsidP="0054260C">
            <w:pPr>
              <w:numPr>
                <w:ilvl w:val="0"/>
                <w:numId w:val="17"/>
              </w:numPr>
              <w:spacing w:before="120" w:after="120"/>
            </w:pPr>
            <w:r w:rsidRPr="00C379C8">
              <w:t xml:space="preserve">radio access equipment operating in the 5 GHz band </w:t>
            </w:r>
          </w:p>
          <w:p w14:paraId="5EE209D6" w14:textId="77777777" w:rsidR="00255247" w:rsidRDefault="00F87D28" w:rsidP="0054260C">
            <w:pPr>
              <w:numPr>
                <w:ilvl w:val="0"/>
                <w:numId w:val="17"/>
              </w:numPr>
              <w:spacing w:before="120" w:after="120"/>
            </w:pPr>
            <w:r w:rsidRPr="00C379C8">
              <w:t>Short range devices (transmitters, transceivers)</w:t>
            </w:r>
          </w:p>
          <w:p w14:paraId="20A04C9B" w14:textId="77777777" w:rsidR="00F85C99" w:rsidRPr="002F6A28" w:rsidRDefault="00F87D28" w:rsidP="002F6A28">
            <w:pPr>
              <w:spacing w:before="120" w:after="120"/>
            </w:pPr>
            <w:r w:rsidRPr="00C379C8">
              <w:t>Electrical apparatus for line telephony or line telegraphy, incl. line telephone sets with cordless handsets and telecommunication apparatus for carrier-current line systems or for digital line systems; videophones; parts thereof (HS 8517)</w:t>
            </w:r>
            <w:bookmarkStart w:id="21" w:name="sps3a"/>
            <w:bookmarkEnd w:id="21"/>
          </w:p>
        </w:tc>
      </w:tr>
      <w:tr w:rsidR="00B077F8" w14:paraId="3AC28F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265F8" w14:textId="77777777" w:rsidR="00F85C99" w:rsidRPr="002F6A28" w:rsidRDefault="00F87D28" w:rsidP="00255247">
            <w:pPr>
              <w:keepNext/>
              <w:keepLines/>
              <w:spacing w:before="120" w:after="120"/>
              <w:jc w:val="left"/>
            </w:pPr>
            <w:r w:rsidRPr="002F6A28">
              <w:rPr>
                <w:b/>
              </w:rPr>
              <w:lastRenderedPageBreak/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EC258" w14:textId="77777777" w:rsidR="00F85C99" w:rsidRPr="002F6A28" w:rsidRDefault="00F87D28" w:rsidP="00255247">
            <w:pPr>
              <w:keepNext/>
              <w:keepLines/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national technical regulation on Land Mobile User Equipment - Radio access (199 page(s), in Vietnamese)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B077F8" w14:paraId="61D962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7D9C5" w14:textId="77777777" w:rsidR="00F85C99" w:rsidRPr="002F6A28" w:rsidRDefault="00F87D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3A4438" w14:textId="77777777" w:rsidR="00F85C99" w:rsidRPr="002F6A28" w:rsidRDefault="00F87D28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draft National technical regulation on Land Mobile User Equipment - Radio access is based on ETSI EN 301 908-1 V11.1.1 (2016-07), ETSI EN 301 908-13 V11.1.1 (2016-07), ETSI EN 301 908-2 V6.2.1 (2013-10), ETSI EN 301 511 V9.0.2 (2003-03) and ETSI TS 151 010-1 V12.2.0 (2014-11) of the European Telecommunications Standards Institute (ETSI).</w:t>
            </w:r>
          </w:p>
          <w:p w14:paraId="3B57D02A" w14:textId="77777777" w:rsidR="00FE448B" w:rsidRPr="00C379C8" w:rsidRDefault="00F87D28" w:rsidP="002F6A28">
            <w:pPr>
              <w:spacing w:after="120"/>
            </w:pPr>
            <w:r w:rsidRPr="00C379C8">
              <w:t>This draft National technical regulation specifies technical requirements on radio access of Land Mobile User Equipment (UE). Land Mobile User Equipment (UE) must be E-UTRA equipment.</w:t>
            </w:r>
          </w:p>
          <w:p w14:paraId="32D9C176" w14:textId="77777777" w:rsidR="00FE448B" w:rsidRPr="00C379C8" w:rsidRDefault="00F87D28" w:rsidP="002F6A28">
            <w:pPr>
              <w:spacing w:after="120"/>
            </w:pPr>
            <w:r w:rsidRPr="00C379C8">
              <w:t>This draft National technical regulation does not apply to NB-IoT and 5G land mobile terminal equipment.</w:t>
            </w:r>
          </w:p>
          <w:p w14:paraId="66DF9C6A" w14:textId="77777777" w:rsidR="00FE448B" w:rsidRPr="00C379C8" w:rsidRDefault="00F87D28" w:rsidP="002F6A28">
            <w:pPr>
              <w:spacing w:after="120"/>
            </w:pPr>
            <w:r w:rsidRPr="00C379C8">
              <w:t>The following provisions are included:</w:t>
            </w:r>
          </w:p>
          <w:p w14:paraId="2B807277" w14:textId="77777777" w:rsidR="00FE448B" w:rsidRPr="00C379C8" w:rsidRDefault="00F87D28" w:rsidP="002F6A28">
            <w:pPr>
              <w:spacing w:after="120"/>
            </w:pPr>
            <w:r w:rsidRPr="00C379C8">
              <w:t>1. General provisions</w:t>
            </w:r>
          </w:p>
          <w:p w14:paraId="79B3FE8B" w14:textId="77777777" w:rsidR="00FE448B" w:rsidRPr="00C379C8" w:rsidRDefault="00F87D28" w:rsidP="002F6A28">
            <w:pPr>
              <w:spacing w:after="120"/>
            </w:pPr>
            <w:r w:rsidRPr="00C379C8">
              <w:t>1.1. Scope</w:t>
            </w:r>
          </w:p>
          <w:p w14:paraId="093906FF" w14:textId="77777777" w:rsidR="00FE448B" w:rsidRPr="00C379C8" w:rsidRDefault="00F87D28" w:rsidP="002F6A28">
            <w:pPr>
              <w:spacing w:after="120"/>
            </w:pPr>
            <w:r w:rsidRPr="00C379C8">
              <w:t>1.2. Application objects</w:t>
            </w:r>
          </w:p>
          <w:p w14:paraId="6BCE18B6" w14:textId="77777777" w:rsidR="00FE448B" w:rsidRPr="00C379C8" w:rsidRDefault="00F87D28" w:rsidP="002F6A28">
            <w:pPr>
              <w:spacing w:after="120"/>
            </w:pPr>
            <w:r w:rsidRPr="00C379C8">
              <w:t>1.3. References</w:t>
            </w:r>
          </w:p>
          <w:p w14:paraId="5C96E12C" w14:textId="77777777" w:rsidR="00FE448B" w:rsidRPr="00C379C8" w:rsidRDefault="00F87D28" w:rsidP="002F6A28">
            <w:pPr>
              <w:spacing w:after="120"/>
            </w:pPr>
            <w:r w:rsidRPr="00C379C8">
              <w:t>1.4. Term interpretation</w:t>
            </w:r>
          </w:p>
          <w:p w14:paraId="234933EC" w14:textId="77777777" w:rsidR="00FE448B" w:rsidRPr="00C379C8" w:rsidRDefault="00F87D28" w:rsidP="002F6A28">
            <w:pPr>
              <w:spacing w:after="120"/>
            </w:pPr>
            <w:r w:rsidRPr="00C379C8">
              <w:t>1.5. Symbols</w:t>
            </w:r>
          </w:p>
          <w:p w14:paraId="4A599D88" w14:textId="77777777" w:rsidR="00FE448B" w:rsidRPr="00C379C8" w:rsidRDefault="00F87D28" w:rsidP="002F6A28">
            <w:pPr>
              <w:spacing w:after="120"/>
            </w:pPr>
            <w:r w:rsidRPr="00C379C8">
              <w:t>1.6. Abbreviation</w:t>
            </w:r>
          </w:p>
          <w:p w14:paraId="6AFD381B" w14:textId="77777777" w:rsidR="00FE448B" w:rsidRPr="00C379C8" w:rsidRDefault="00F87D28" w:rsidP="002F6A28">
            <w:pPr>
              <w:spacing w:after="120"/>
            </w:pPr>
            <w:r w:rsidRPr="00C379C8">
              <w:t>2. Technical requirements</w:t>
            </w:r>
          </w:p>
          <w:p w14:paraId="0F5E4B83" w14:textId="77777777" w:rsidR="00FE448B" w:rsidRPr="00C379C8" w:rsidRDefault="00F87D28" w:rsidP="002F6A28">
            <w:pPr>
              <w:spacing w:after="120"/>
            </w:pPr>
            <w:r w:rsidRPr="00C379C8">
              <w:t>2.1. Environment conditions</w:t>
            </w:r>
          </w:p>
          <w:p w14:paraId="2F83A30D" w14:textId="77777777" w:rsidR="00FE448B" w:rsidRPr="00C379C8" w:rsidRDefault="00F87D28" w:rsidP="002F6A28">
            <w:pPr>
              <w:spacing w:after="120"/>
            </w:pPr>
            <w:r w:rsidRPr="00C379C8">
              <w:t>2.2. Technical requirements</w:t>
            </w:r>
          </w:p>
          <w:p w14:paraId="681307FB" w14:textId="77777777" w:rsidR="00FE448B" w:rsidRPr="00C379C8" w:rsidRDefault="00F87D28" w:rsidP="002F6A28">
            <w:pPr>
              <w:spacing w:after="120"/>
            </w:pPr>
            <w:r w:rsidRPr="00C379C8">
              <w:t>3. Testing method</w:t>
            </w:r>
          </w:p>
          <w:p w14:paraId="3D26155B" w14:textId="77777777" w:rsidR="00FE448B" w:rsidRPr="00C379C8" w:rsidRDefault="00F87D28" w:rsidP="002F6A28">
            <w:pPr>
              <w:spacing w:after="120"/>
            </w:pPr>
            <w:r w:rsidRPr="00C379C8">
              <w:t>4. Regulatory requirements</w:t>
            </w:r>
          </w:p>
          <w:p w14:paraId="790E107B" w14:textId="77777777" w:rsidR="00FE448B" w:rsidRPr="00C379C8" w:rsidRDefault="00F87D28" w:rsidP="002F6A28">
            <w:pPr>
              <w:spacing w:after="120"/>
            </w:pPr>
            <w:r w:rsidRPr="00C379C8">
              <w:t>5. Obligation of organizations and individuals</w:t>
            </w:r>
          </w:p>
          <w:p w14:paraId="2B9B4961" w14:textId="77777777" w:rsidR="00FE448B" w:rsidRPr="00F0044B" w:rsidRDefault="00F87D28" w:rsidP="002F6A28">
            <w:pPr>
              <w:spacing w:after="120"/>
            </w:pPr>
            <w:r w:rsidRPr="00F0044B">
              <w:t>6. Implementation</w:t>
            </w:r>
          </w:p>
          <w:p w14:paraId="7F5ACA1A" w14:textId="77777777" w:rsidR="00FE448B" w:rsidRPr="00F0044B" w:rsidRDefault="00F87D28" w:rsidP="002F6A28">
            <w:pPr>
              <w:spacing w:after="120"/>
            </w:pPr>
            <w:r w:rsidRPr="00F0044B">
              <w:t>Annex A (normative): environment conditions</w:t>
            </w:r>
          </w:p>
          <w:p w14:paraId="59084CAB" w14:textId="77777777" w:rsidR="00FE448B" w:rsidRPr="00C379C8" w:rsidRDefault="00F87D28" w:rsidP="002F6A28">
            <w:pPr>
              <w:spacing w:after="120"/>
            </w:pPr>
            <w:r w:rsidRPr="00C379C8">
              <w:t>Annex B (normative): Technical requirements for WCDMA radio access</w:t>
            </w:r>
          </w:p>
          <w:p w14:paraId="2E721477" w14:textId="77777777" w:rsidR="00FE448B" w:rsidRPr="00C379C8" w:rsidRDefault="00F87D28" w:rsidP="002F6A28">
            <w:pPr>
              <w:spacing w:after="120"/>
            </w:pPr>
            <w:r w:rsidRPr="00C379C8">
              <w:t>Annex C (normative): Technical requirements for GSM radio access</w:t>
            </w:r>
          </w:p>
          <w:p w14:paraId="6987D2A0" w14:textId="77777777" w:rsidR="00FE448B" w:rsidRPr="00C379C8" w:rsidRDefault="00F87D28" w:rsidP="002F6A28">
            <w:pPr>
              <w:spacing w:after="120"/>
            </w:pPr>
            <w:r w:rsidRPr="00C379C8">
              <w:t>Annex D (normative): HS code of Land Mobile User Equipment</w:t>
            </w:r>
          </w:p>
          <w:p w14:paraId="1AA82336" w14:textId="77777777" w:rsidR="00FE448B" w:rsidRPr="00C379C8" w:rsidRDefault="00F87D28" w:rsidP="002F6A28">
            <w:pPr>
              <w:spacing w:after="120"/>
            </w:pPr>
            <w:r w:rsidRPr="00C379C8">
              <w:t>Bibliography</w:t>
            </w:r>
          </w:p>
          <w:p w14:paraId="3F5B955A" w14:textId="77777777" w:rsidR="00FE448B" w:rsidRPr="00C379C8" w:rsidRDefault="00F87D28" w:rsidP="002F6A28">
            <w:pPr>
              <w:spacing w:after="120"/>
            </w:pPr>
            <w:r w:rsidRPr="00C379C8">
              <w:t>This National technical regulation is intended to supersede the following current National technical standards:</w:t>
            </w:r>
          </w:p>
          <w:p w14:paraId="377D6328" w14:textId="77777777" w:rsidR="00FE448B" w:rsidRPr="00C379C8" w:rsidRDefault="00F87D28" w:rsidP="002F6A28">
            <w:pPr>
              <w:spacing w:after="120"/>
            </w:pPr>
            <w:r w:rsidRPr="00C379C8">
              <w:t>- QCVN 12:2015/BTTTT "National technical regulation on GSM mobile station"</w:t>
            </w:r>
          </w:p>
          <w:p w14:paraId="6051B79E" w14:textId="77777777" w:rsidR="00FE448B" w:rsidRPr="00C379C8" w:rsidRDefault="00F87D28" w:rsidP="002F6A28">
            <w:pPr>
              <w:spacing w:after="120"/>
            </w:pPr>
            <w:r w:rsidRPr="00C379C8">
              <w:t>- QCVN 15:2015/BTTTT "National technical regulation on W-CDMA FDD mobile station"</w:t>
            </w:r>
          </w:p>
          <w:p w14:paraId="39FE0A2E" w14:textId="77777777" w:rsidR="00FE448B" w:rsidRPr="00C379C8" w:rsidRDefault="00F87D28" w:rsidP="002F6A28">
            <w:pPr>
              <w:spacing w:after="120"/>
            </w:pPr>
            <w:r w:rsidRPr="00C379C8">
              <w:t>- QCVN 117:2018/BTTTT "National technical regulation on Evolved Universal Terrestrial Radio Access (E-UTRA) User Equipment (UE) - Radio Access"</w:t>
            </w:r>
          </w:p>
        </w:tc>
      </w:tr>
      <w:tr w:rsidR="00B077F8" w14:paraId="0853DA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6302D" w14:textId="77777777" w:rsidR="00F85C99" w:rsidRPr="002F6A28" w:rsidRDefault="00F87D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32448" w14:textId="77777777" w:rsidR="00F85C99" w:rsidRPr="002F6A28" w:rsidRDefault="00F87D2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8" w:name="sps7f"/>
            <w:bookmarkEnd w:id="28"/>
          </w:p>
        </w:tc>
      </w:tr>
      <w:tr w:rsidR="00B077F8" w14:paraId="30D524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C4761" w14:textId="77777777" w:rsidR="00F85C99" w:rsidRPr="002F6A28" w:rsidRDefault="00F87D28" w:rsidP="0080601D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B143A" w14:textId="77777777" w:rsidR="00072B36" w:rsidRPr="002F6A28" w:rsidRDefault="00F87D28" w:rsidP="0080601D">
            <w:pPr>
              <w:keepNext/>
              <w:keepLines/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B53D38D" w14:textId="77777777" w:rsidR="00AE0427" w:rsidRPr="002F6A28" w:rsidRDefault="00F87D28" w:rsidP="0080601D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The Law on quality of products and goods;</w:t>
            </w:r>
          </w:p>
          <w:p w14:paraId="09E7CA4D" w14:textId="77777777" w:rsidR="00AE0427" w:rsidRPr="002F6A28" w:rsidRDefault="00F87D28" w:rsidP="0080601D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The Law on standards and technical regulations;</w:t>
            </w:r>
          </w:p>
          <w:p w14:paraId="1C48AC0A" w14:textId="77777777" w:rsidR="00AE0427" w:rsidRPr="002F6A28" w:rsidRDefault="00F87D28" w:rsidP="0080601D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Circular No.30/2011/TT-BTTTT dated 31</w:t>
            </w:r>
            <w:r w:rsidR="00A24FEF">
              <w:rPr>
                <w:bCs/>
              </w:rPr>
              <w:t> </w:t>
            </w:r>
            <w:proofErr w:type="gramStart"/>
            <w:r w:rsidRPr="002F6A28">
              <w:rPr>
                <w:bCs/>
              </w:rPr>
              <w:t>October,</w:t>
            </w:r>
            <w:proofErr w:type="gramEnd"/>
            <w:r w:rsidRPr="002F6A28">
              <w:rPr>
                <w:bCs/>
              </w:rPr>
              <w:t xml:space="preserve"> 2011 specifying mandatory certification and declaration of products and goods in information technology and communications sector;</w:t>
            </w:r>
          </w:p>
          <w:p w14:paraId="2AFCBAB9" w14:textId="77777777" w:rsidR="00AE0427" w:rsidRPr="002F6A28" w:rsidRDefault="00F87D28" w:rsidP="0080601D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Circular No.15/2018/TT-BTTTT dated 15 </w:t>
            </w:r>
            <w:proofErr w:type="gramStart"/>
            <w:r w:rsidRPr="002F6A28">
              <w:rPr>
                <w:bCs/>
              </w:rPr>
              <w:t>November,</w:t>
            </w:r>
            <w:proofErr w:type="gramEnd"/>
            <w:r w:rsidRPr="002F6A28">
              <w:rPr>
                <w:bCs/>
              </w:rPr>
              <w:t xml:space="preserve"> 2018 providing modifications and amendments for the Circular No.30/2011/TT-BTTTT;</w:t>
            </w:r>
          </w:p>
          <w:p w14:paraId="3C9422CC" w14:textId="77777777" w:rsidR="00AE0427" w:rsidRPr="002F6A28" w:rsidRDefault="00F87D28" w:rsidP="0080601D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Circular No.11/2020/TT-BTTTT dated 14 </w:t>
            </w:r>
            <w:proofErr w:type="gramStart"/>
            <w:r w:rsidRPr="002F6A28">
              <w:rPr>
                <w:bCs/>
              </w:rPr>
              <w:t>May,</w:t>
            </w:r>
            <w:proofErr w:type="gramEnd"/>
            <w:r w:rsidRPr="002F6A28">
              <w:rPr>
                <w:bCs/>
              </w:rPr>
              <w:t xml:space="preserve"> 2020 specifying the list of specifying the List of products and goods with unsafe capability under management responsibility of Ministry of Information and Communications;</w:t>
            </w:r>
          </w:p>
          <w:p w14:paraId="1A07D2EA" w14:textId="77777777" w:rsidR="00AE0427" w:rsidRPr="002F6A28" w:rsidRDefault="00F87D28" w:rsidP="0080601D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QCVN 12:2015/BTTTT "National technical regulation on GSM mobile station";</w:t>
            </w:r>
          </w:p>
          <w:p w14:paraId="39331694" w14:textId="77777777" w:rsidR="00AE0427" w:rsidRPr="002F6A28" w:rsidRDefault="00F87D28" w:rsidP="0080601D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QCVN 15:2015/BTTTT "National technical regulation on W-CDMA FDD mobile station";</w:t>
            </w:r>
          </w:p>
          <w:p w14:paraId="77F5EEC0" w14:textId="77777777" w:rsidR="00AE0427" w:rsidRPr="002F6A28" w:rsidRDefault="00F87D28" w:rsidP="0080601D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QCVN 117:2018/BTTTT "National technical regulation on Evolved Universal Terrestrial Radio Access (E-UTRA) User Equipment (UE) - Radio Access".</w:t>
            </w:r>
          </w:p>
        </w:tc>
      </w:tr>
      <w:tr w:rsidR="00B077F8" w14:paraId="040D933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339FE" w14:textId="77777777" w:rsidR="00EE3A11" w:rsidRPr="002F6A28" w:rsidRDefault="00F87D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4C1A7" w14:textId="77777777" w:rsidR="00EE3A11" w:rsidRPr="002F6A28" w:rsidRDefault="00F87D28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15 November 2020</w:t>
            </w:r>
            <w:bookmarkStart w:id="31" w:name="sps10a"/>
            <w:bookmarkStart w:id="32" w:name="sps10b"/>
            <w:bookmarkEnd w:id="31"/>
            <w:bookmarkEnd w:id="32"/>
          </w:p>
          <w:p w14:paraId="1DF61197" w14:textId="77777777" w:rsidR="00EE3A11" w:rsidRPr="002F6A28" w:rsidRDefault="00F87D28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1 July 2021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B077F8" w14:paraId="20C90AB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66CA5" w14:textId="77777777" w:rsidR="00F85C99" w:rsidRPr="002F6A28" w:rsidRDefault="00F87D2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2B57C" w14:textId="77777777" w:rsidR="00F85C99" w:rsidRPr="002F6A28" w:rsidRDefault="00F87D28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B077F8" w14:paraId="5FF05C9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BAD2948" w14:textId="77777777" w:rsidR="00F85C99" w:rsidRPr="002F6A28" w:rsidRDefault="00F87D2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D159356" w14:textId="77777777" w:rsidR="00F85C99" w:rsidRPr="002F6A28" w:rsidRDefault="00F87D28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5FC21E76" w14:textId="77777777" w:rsidR="00255247" w:rsidRDefault="00F87D28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Ministry of Information and Communications</w:t>
            </w:r>
            <w:r w:rsidRPr="002F6A28">
              <w:br/>
              <w:t xml:space="preserve">Department of Science and Technology </w:t>
            </w:r>
            <w:r w:rsidRPr="002F6A28">
              <w:br/>
              <w:t xml:space="preserve">18 Nguyen Du Str., Hai Ba </w:t>
            </w:r>
            <w:proofErr w:type="spellStart"/>
            <w:r w:rsidRPr="002F6A28">
              <w:t>Trung</w:t>
            </w:r>
            <w:proofErr w:type="spellEnd"/>
            <w:r w:rsidRPr="002F6A28">
              <w:t xml:space="preserve"> Dist., Hanoi, Vietnam</w:t>
            </w:r>
            <w:r w:rsidRPr="002F6A28">
              <w:br/>
              <w:t>Tel (84-24) 38226580</w:t>
            </w:r>
            <w:r w:rsidRPr="002F6A28">
              <w:br/>
              <w:t>Fax: (84-24) 39437328</w:t>
            </w:r>
            <w:r w:rsidRPr="002F6A28">
              <w:br/>
              <w:t xml:space="preserve">Email: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dxbinh@mic.gov.vn</w:t>
              </w:r>
            </w:hyperlink>
            <w:r w:rsidRPr="002F6A28">
              <w:t xml:space="preserve">, </w:t>
            </w:r>
            <w:hyperlink r:id="rId11" w:history="1">
              <w:r w:rsidRPr="002F6A28">
                <w:rPr>
                  <w:color w:val="0000FF"/>
                  <w:u w:val="single"/>
                </w:rPr>
                <w:t>nxhai@vnta.gov.vn</w:t>
              </w:r>
            </w:hyperlink>
            <w:r w:rsidRPr="002F6A28">
              <w:t xml:space="preserve">; </w:t>
            </w:r>
            <w:hyperlink r:id="rId12" w:history="1">
              <w:r w:rsidRPr="002F6A28">
                <w:rPr>
                  <w:color w:val="0000FF"/>
                  <w:u w:val="single"/>
                </w:rPr>
                <w:t>nptuyen@vnta.gov.vn</w:t>
              </w:r>
            </w:hyperlink>
          </w:p>
          <w:p w14:paraId="35177500" w14:textId="77777777" w:rsidR="00AE0427" w:rsidRPr="002F6A28" w:rsidRDefault="00F0044B" w:rsidP="00B16145">
            <w:pPr>
              <w:keepNext/>
              <w:keepLines/>
              <w:spacing w:before="120" w:after="120"/>
            </w:pPr>
            <w:hyperlink r:id="rId13" w:history="1">
              <w:r w:rsidR="00E5536C" w:rsidRPr="002F6A28">
                <w:rPr>
                  <w:color w:val="0000FF"/>
                  <w:u w:val="single"/>
                </w:rPr>
                <w:t>https://members.wto.org/crnattachments/2020/TBT/VNM/20_4153_00_x.pdf</w:t>
              </w:r>
            </w:hyperlink>
            <w:bookmarkEnd w:id="41"/>
          </w:p>
        </w:tc>
      </w:tr>
    </w:tbl>
    <w:p w14:paraId="231BD8CE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144AF" w14:textId="77777777" w:rsidR="00EF5301" w:rsidRDefault="00F87D28">
      <w:r>
        <w:separator/>
      </w:r>
    </w:p>
  </w:endnote>
  <w:endnote w:type="continuationSeparator" w:id="0">
    <w:p w14:paraId="6591CA5B" w14:textId="77777777" w:rsidR="00EF5301" w:rsidRDefault="00F8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D57F5" w14:textId="77777777" w:rsidR="009239F7" w:rsidRPr="002F6A28" w:rsidRDefault="00F87D2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71F8" w14:textId="77777777" w:rsidR="009239F7" w:rsidRPr="002F6A28" w:rsidRDefault="00F87D2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23C6" w14:textId="77777777" w:rsidR="00EE3A11" w:rsidRPr="002F6A28" w:rsidRDefault="00F87D2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91E2A" w14:textId="77777777" w:rsidR="00EF5301" w:rsidRDefault="00F87D28">
      <w:r>
        <w:separator/>
      </w:r>
    </w:p>
  </w:footnote>
  <w:footnote w:type="continuationSeparator" w:id="0">
    <w:p w14:paraId="2EEE52CA" w14:textId="77777777" w:rsidR="00EF5301" w:rsidRDefault="00F8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6CC7" w14:textId="77777777" w:rsidR="009239F7" w:rsidRPr="002F6A28" w:rsidRDefault="00F87D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67600D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0BC76C" w14:textId="77777777" w:rsidR="009239F7" w:rsidRPr="002F6A28" w:rsidRDefault="00F87D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6EE495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706D" w14:textId="77777777" w:rsidR="009239F7" w:rsidRPr="002F6A28" w:rsidRDefault="00F87D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G/TBT/N/VNM/173</w:t>
    </w:r>
    <w:bookmarkEnd w:id="42"/>
  </w:p>
  <w:p w14:paraId="528BEAF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C24971" w14:textId="77777777" w:rsidR="009239F7" w:rsidRPr="002F6A28" w:rsidRDefault="00F87D2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4885EF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77F8" w14:paraId="4C7CCAB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5B06B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1DEF9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B077F8" w14:paraId="15F52DA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A79D965" w14:textId="77777777" w:rsidR="00ED54E0" w:rsidRPr="009239F7" w:rsidRDefault="00F0044B" w:rsidP="00B801E9">
          <w:pPr>
            <w:jc w:val="left"/>
          </w:pPr>
          <w:r>
            <w:rPr>
              <w:lang w:eastAsia="en-GB"/>
            </w:rPr>
            <w:pict w14:anchorId="7162AE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95EEC0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077F8" w14:paraId="3EFA30C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9E4CA0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26C256" w14:textId="77777777" w:rsidR="009239F7" w:rsidRPr="002F6A28" w:rsidRDefault="00F87D28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G/TBT/N/VNM/173</w:t>
          </w:r>
          <w:bookmarkEnd w:id="44"/>
        </w:p>
      </w:tc>
    </w:tr>
    <w:tr w:rsidR="00B077F8" w14:paraId="595D65F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2E7D2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848E8C" w14:textId="6E9776D2" w:rsidR="00ED54E0" w:rsidRPr="009239F7" w:rsidRDefault="00F87D28" w:rsidP="00B801E9">
          <w:pPr>
            <w:jc w:val="right"/>
            <w:rPr>
              <w:szCs w:val="16"/>
            </w:rPr>
          </w:pPr>
          <w:r>
            <w:rPr>
              <w:szCs w:val="16"/>
            </w:rPr>
            <w:t>10 July 2020</w:t>
          </w:r>
        </w:p>
      </w:tc>
    </w:tr>
    <w:tr w:rsidR="00B077F8" w14:paraId="161D6C7A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1E0ED8" w14:textId="2644C859" w:rsidR="00ED54E0" w:rsidRPr="009239F7" w:rsidRDefault="00F87D28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20-</w:t>
          </w:r>
          <w:r w:rsidR="00F0044B">
            <w:rPr>
              <w:color w:val="FF0000"/>
              <w:szCs w:val="16"/>
            </w:rPr>
            <w:t>4753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2C6B4D" w14:textId="77777777" w:rsidR="00ED54E0" w:rsidRPr="009239F7" w:rsidRDefault="00F87D28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B077F8" w14:paraId="0A66A44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D72F69" w14:textId="77777777" w:rsidR="00ED54E0" w:rsidRPr="009239F7" w:rsidRDefault="00F87D28" w:rsidP="00B801E9">
          <w:pPr>
            <w:jc w:val="left"/>
            <w:rPr>
              <w:sz w:val="14"/>
              <w:szCs w:val="16"/>
            </w:rPr>
          </w:pPr>
          <w:bookmarkStart w:id="48" w:name="bmkCommittee"/>
          <w:r w:rsidRPr="002F6A28"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426D44" w14:textId="77777777" w:rsidR="00ED54E0" w:rsidRPr="002F6A28" w:rsidRDefault="00F87D28" w:rsidP="00B801E9">
          <w:pPr>
            <w:jc w:val="right"/>
            <w:rPr>
              <w:bCs/>
              <w:szCs w:val="18"/>
            </w:rPr>
          </w:pPr>
          <w:bookmarkStart w:id="49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0" w:name="spsOriginalLanguage"/>
          <w:r w:rsidRPr="002F6A28">
            <w:rPr>
              <w:bCs/>
              <w:szCs w:val="18"/>
            </w:rPr>
            <w:t>English</w:t>
          </w:r>
          <w:bookmarkEnd w:id="49"/>
          <w:bookmarkEnd w:id="50"/>
        </w:p>
      </w:tc>
    </w:tr>
  </w:tbl>
  <w:p w14:paraId="1EB9B2E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00CE5"/>
    <w:multiLevelType w:val="hybridMultilevel"/>
    <w:tmpl w:val="B65ECFE4"/>
    <w:lvl w:ilvl="0" w:tplc="AB903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E6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28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8E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6D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A1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ED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60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6E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2A451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98CC66" w:tentative="1">
      <w:start w:val="1"/>
      <w:numFmt w:val="lowerLetter"/>
      <w:lvlText w:val="%2."/>
      <w:lvlJc w:val="left"/>
      <w:pPr>
        <w:ind w:left="1080" w:hanging="360"/>
      </w:pPr>
    </w:lvl>
    <w:lvl w:ilvl="2" w:tplc="197E43CA" w:tentative="1">
      <w:start w:val="1"/>
      <w:numFmt w:val="lowerRoman"/>
      <w:lvlText w:val="%3."/>
      <w:lvlJc w:val="right"/>
      <w:pPr>
        <w:ind w:left="1800" w:hanging="180"/>
      </w:pPr>
    </w:lvl>
    <w:lvl w:ilvl="3" w:tplc="E7BCCD2A" w:tentative="1">
      <w:start w:val="1"/>
      <w:numFmt w:val="decimal"/>
      <w:lvlText w:val="%4."/>
      <w:lvlJc w:val="left"/>
      <w:pPr>
        <w:ind w:left="2520" w:hanging="360"/>
      </w:pPr>
    </w:lvl>
    <w:lvl w:ilvl="4" w:tplc="497C78E2" w:tentative="1">
      <w:start w:val="1"/>
      <w:numFmt w:val="lowerLetter"/>
      <w:lvlText w:val="%5."/>
      <w:lvlJc w:val="left"/>
      <w:pPr>
        <w:ind w:left="3240" w:hanging="360"/>
      </w:pPr>
    </w:lvl>
    <w:lvl w:ilvl="5" w:tplc="11286B64" w:tentative="1">
      <w:start w:val="1"/>
      <w:numFmt w:val="lowerRoman"/>
      <w:lvlText w:val="%6."/>
      <w:lvlJc w:val="right"/>
      <w:pPr>
        <w:ind w:left="3960" w:hanging="180"/>
      </w:pPr>
    </w:lvl>
    <w:lvl w:ilvl="6" w:tplc="7798A55C" w:tentative="1">
      <w:start w:val="1"/>
      <w:numFmt w:val="decimal"/>
      <w:lvlText w:val="%7."/>
      <w:lvlJc w:val="left"/>
      <w:pPr>
        <w:ind w:left="4680" w:hanging="360"/>
      </w:pPr>
    </w:lvl>
    <w:lvl w:ilvl="7" w:tplc="55B80970" w:tentative="1">
      <w:start w:val="1"/>
      <w:numFmt w:val="lowerLetter"/>
      <w:lvlText w:val="%8."/>
      <w:lvlJc w:val="left"/>
      <w:pPr>
        <w:ind w:left="5400" w:hanging="360"/>
      </w:pPr>
    </w:lvl>
    <w:lvl w:ilvl="8" w:tplc="624670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55247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4F47"/>
    <w:rsid w:val="0048173D"/>
    <w:rsid w:val="004A23F8"/>
    <w:rsid w:val="004C27A4"/>
    <w:rsid w:val="004E51B2"/>
    <w:rsid w:val="004F203A"/>
    <w:rsid w:val="005104AF"/>
    <w:rsid w:val="005336B8"/>
    <w:rsid w:val="00533DC1"/>
    <w:rsid w:val="0054260C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601D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24FEF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0427"/>
    <w:rsid w:val="00AE118B"/>
    <w:rsid w:val="00AE2372"/>
    <w:rsid w:val="00AE2AEE"/>
    <w:rsid w:val="00AE6CC8"/>
    <w:rsid w:val="00AF3330"/>
    <w:rsid w:val="00B00276"/>
    <w:rsid w:val="00B077F8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536C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5301"/>
    <w:rsid w:val="00F0044B"/>
    <w:rsid w:val="00F0047B"/>
    <w:rsid w:val="00F263FA"/>
    <w:rsid w:val="00F32397"/>
    <w:rsid w:val="00F40595"/>
    <w:rsid w:val="00F650F7"/>
    <w:rsid w:val="00F85C99"/>
    <w:rsid w:val="00F87D28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54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xhai@vnta.gov.vn" TargetMode="External"/><Relationship Id="rId13" Type="http://schemas.openxmlformats.org/officeDocument/2006/relationships/hyperlink" Target="https://members.wto.org/crnattachments/2020/TBT/VNM/20_4153_00_x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xbinh@mic.gov.vn" TargetMode="External"/><Relationship Id="rId12" Type="http://schemas.openxmlformats.org/officeDocument/2006/relationships/hyperlink" Target="mailto:nptuyen@vnta.gov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xhai@vnta.gov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dxbinh@mic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nptuyen@vnta.gov.vn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4B8443DB.dotm</Template>
  <TotalTime>94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69</cp:revision>
  <dcterms:created xsi:type="dcterms:W3CDTF">2017-07-03T10:42:00Z</dcterms:created>
  <dcterms:modified xsi:type="dcterms:W3CDTF">2020-07-10T12:27:00Z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f96c983c-3147-476c-a34f-592f28b642b6</vt:lpwstr>
  </property>
  <property fmtid="{D5CDD505-2E9C-101B-9397-08002B2CF9AE}" pid="4" name="WTOCLASSIFICATION">
    <vt:lpwstr>WTO OFFICIAL</vt:lpwstr>
  </property>
</Properties>
</file>