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A633F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A633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C408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:rsidR="00F85C99" w:rsidRPr="002F6A28" w:rsidRDefault="004A633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C40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:rsidR="00F85C99" w:rsidRPr="002F6A28" w:rsidRDefault="004A633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AC4082" w:rsidRPr="002F6A28" w:rsidRDefault="004A633F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 xml:space="preserve">Tel: + (972) 3 7347501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AC40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A633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C40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Medium power transformers 50 Hz; (HS: 8504); (ICS: 29.180)</w:t>
            </w:r>
            <w:bookmarkStart w:id="20" w:name="sps3a"/>
            <w:bookmarkEnd w:id="20"/>
          </w:p>
        </w:tc>
      </w:tr>
      <w:tr w:rsidR="00AC40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SI 50588 part 1 - Medium power transformers 50 Hz, with highest voltage for equipment not exceeding 36 kV: General requirements (31 page(s), in English; 6 page(s), in Hebrew)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C40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Revision of the Mandatory Standards SI 50464 part 1 and SI 50541 part 1, dealing with medium power transformers 50 Hz, to be replaced with SI 50588 part 1. This draft standard revision adopts the European Standard EN 50588-1: September 2017, with a few changes and national deviations that appear in the standard's Hebrew section.  The major differences between the old version and this new revised draft standard are as follow:</w:t>
            </w:r>
          </w:p>
          <w:p w:rsidR="00FE448B" w:rsidRPr="00C379C8" w:rsidRDefault="004A633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Due to the merging of the two old standards into one new, then this standard applies both to oil-immersed transformers and to Dry-type transformers;</w:t>
            </w:r>
          </w:p>
          <w:p w:rsidR="00FE448B" w:rsidRPr="00C379C8" w:rsidRDefault="004A633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Changes the rated range of power supply;</w:t>
            </w:r>
          </w:p>
          <w:p w:rsidR="00FE448B" w:rsidRPr="00C379C8" w:rsidRDefault="004A633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Adds new paragraph 3.6 dealing with the declared value of loss;</w:t>
            </w:r>
          </w:p>
          <w:p w:rsidR="00FE448B" w:rsidRPr="00C379C8" w:rsidRDefault="004A633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Adds new paragraph 6.3 dealing with the peak efficiency index of transformers with rated power 3,150 kVA to 40,000 kVA.</w:t>
            </w:r>
          </w:p>
        </w:tc>
      </w:tr>
      <w:tr w:rsidR="00AC40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AC40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A633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C4082" w:rsidRPr="002F6A28" w:rsidRDefault="004A633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Israel Mandatory Standard SI 50464 part 1 (April 2013);</w:t>
            </w:r>
          </w:p>
          <w:p w:rsidR="00AC4082" w:rsidRPr="002F6A28" w:rsidRDefault="004A633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Israel Mandatory Standard SI 50541 part 1 (April 2013);</w:t>
            </w:r>
          </w:p>
          <w:p w:rsidR="00AC4082" w:rsidRPr="002F6A28" w:rsidRDefault="004A633F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European Standard EN 50588-1: September 2017.</w:t>
            </w:r>
          </w:p>
        </w:tc>
      </w:tr>
      <w:tr w:rsidR="00AC408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A63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A633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4A633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Generally, 60 days after publication in Israel Official Gazette, Section of Government Notices</w:t>
            </w:r>
            <w:bookmarkEnd w:id="34"/>
          </w:p>
        </w:tc>
      </w:tr>
      <w:tr w:rsidR="00AC40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A633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C408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A633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A633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C4082" w:rsidRPr="002F6A28" w:rsidRDefault="002914E1" w:rsidP="00B16145">
            <w:pPr>
              <w:keepNext/>
              <w:keepLines/>
              <w:spacing w:before="120" w:after="120"/>
            </w:pPr>
            <w:hyperlink r:id="rId8" w:history="1">
              <w:r w:rsidR="004A633F" w:rsidRPr="002F6A28">
                <w:rPr>
                  <w:color w:val="0000FF"/>
                  <w:u w:val="single"/>
                </w:rPr>
                <w:t>https://members.wto.org/crnattachments/2020/TBT/ISR/20_2975_00_x.pdf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33" w:rsidRDefault="004A633F">
      <w:r>
        <w:separator/>
      </w:r>
    </w:p>
  </w:endnote>
  <w:endnote w:type="continuationSeparator" w:id="0">
    <w:p w:rsidR="00EB0E33" w:rsidRDefault="004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A633F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A633F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A633F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33" w:rsidRDefault="004A633F">
      <w:r>
        <w:separator/>
      </w:r>
    </w:p>
  </w:footnote>
  <w:footnote w:type="continuationSeparator" w:id="0">
    <w:p w:rsidR="00EB0E33" w:rsidRDefault="004A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A633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A633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A633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G/TBT/N/ISR/1133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A633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408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C408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914E1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C408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A633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G/TBT/N/ISR/1133</w:t>
          </w:r>
          <w:bookmarkEnd w:id="43"/>
        </w:p>
      </w:tc>
    </w:tr>
    <w:tr w:rsidR="00AC408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A633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 w:rsidRPr="004A633F">
            <w:rPr>
              <w:szCs w:val="16"/>
            </w:rPr>
            <w:t>28 April 2020</w:t>
          </w:r>
        </w:p>
      </w:tc>
    </w:tr>
    <w:tr w:rsidR="00AC408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A633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2914E1">
            <w:rPr>
              <w:color w:val="FF0000"/>
              <w:szCs w:val="16"/>
            </w:rPr>
            <w:t>3317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A633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C408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A633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A633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D4DC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C8B48E" w:tentative="1">
      <w:start w:val="1"/>
      <w:numFmt w:val="lowerLetter"/>
      <w:lvlText w:val="%2."/>
      <w:lvlJc w:val="left"/>
      <w:pPr>
        <w:ind w:left="1080" w:hanging="360"/>
      </w:pPr>
    </w:lvl>
    <w:lvl w:ilvl="2" w:tplc="500E9D94" w:tentative="1">
      <w:start w:val="1"/>
      <w:numFmt w:val="lowerRoman"/>
      <w:lvlText w:val="%3."/>
      <w:lvlJc w:val="right"/>
      <w:pPr>
        <w:ind w:left="1800" w:hanging="180"/>
      </w:pPr>
    </w:lvl>
    <w:lvl w:ilvl="3" w:tplc="B5A04B8E" w:tentative="1">
      <w:start w:val="1"/>
      <w:numFmt w:val="decimal"/>
      <w:lvlText w:val="%4."/>
      <w:lvlJc w:val="left"/>
      <w:pPr>
        <w:ind w:left="2520" w:hanging="360"/>
      </w:pPr>
    </w:lvl>
    <w:lvl w:ilvl="4" w:tplc="0A48D4D8" w:tentative="1">
      <w:start w:val="1"/>
      <w:numFmt w:val="lowerLetter"/>
      <w:lvlText w:val="%5."/>
      <w:lvlJc w:val="left"/>
      <w:pPr>
        <w:ind w:left="3240" w:hanging="360"/>
      </w:pPr>
    </w:lvl>
    <w:lvl w:ilvl="5" w:tplc="F99094AA" w:tentative="1">
      <w:start w:val="1"/>
      <w:numFmt w:val="lowerRoman"/>
      <w:lvlText w:val="%6."/>
      <w:lvlJc w:val="right"/>
      <w:pPr>
        <w:ind w:left="3960" w:hanging="180"/>
      </w:pPr>
    </w:lvl>
    <w:lvl w:ilvl="6" w:tplc="A0FC5608" w:tentative="1">
      <w:start w:val="1"/>
      <w:numFmt w:val="decimal"/>
      <w:lvlText w:val="%7."/>
      <w:lvlJc w:val="left"/>
      <w:pPr>
        <w:ind w:left="4680" w:hanging="360"/>
      </w:pPr>
    </w:lvl>
    <w:lvl w:ilvl="7" w:tplc="D94A9FB6" w:tentative="1">
      <w:start w:val="1"/>
      <w:numFmt w:val="lowerLetter"/>
      <w:lvlText w:val="%8."/>
      <w:lvlJc w:val="left"/>
      <w:pPr>
        <w:ind w:left="5400" w:hanging="360"/>
      </w:pPr>
    </w:lvl>
    <w:lvl w:ilvl="8" w:tplc="7AF461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8801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8880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A878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5C4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D2E9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1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2E25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54F6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80E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1BBA0C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926E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62B0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684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C0F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9ED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4EB8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007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FE21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14E1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633F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4082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0E33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21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ISR/20_297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FB435120.dotm</Template>
  <TotalTime>82</TotalTime>
  <Pages>2</Pages>
  <Words>434</Words>
  <Characters>2428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64</cp:revision>
  <dcterms:created xsi:type="dcterms:W3CDTF">2017-07-03T10:42:00Z</dcterms:created>
  <dcterms:modified xsi:type="dcterms:W3CDTF">2020-04-28T11:08:00Z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