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74281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7428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5497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Canada</w:t>
            </w:r>
            <w:bookmarkEnd w:id="1"/>
            <w:r w:rsidRPr="002F6A28">
              <w:t xml:space="preserve"> </w:t>
            </w:r>
          </w:p>
          <w:p w:rsidR="00F85C99" w:rsidRPr="002F6A28" w:rsidRDefault="0007428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Innovation, Sciences and Economic Development</w:t>
            </w:r>
            <w:bookmarkEnd w:id="5"/>
          </w:p>
          <w:p w:rsidR="00F85C99" w:rsidRPr="002F6A28" w:rsidRDefault="0007428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CC35DB" w:rsidRPr="002F6A28" w:rsidRDefault="00074281" w:rsidP="00AA646C">
            <w:pPr>
              <w:spacing w:after="120"/>
              <w:jc w:val="left"/>
            </w:pPr>
            <w:r w:rsidRPr="002F6A28">
              <w:t>Canada's Notification Authority and Enquiry Point</w:t>
            </w:r>
            <w:r w:rsidRPr="002F6A28">
              <w:br/>
              <w:t>Technical Barriers and Regulations Division</w:t>
            </w:r>
            <w:r w:rsidRPr="002F6A28">
              <w:br/>
              <w:t>Global Affairs Canada</w:t>
            </w:r>
            <w:r w:rsidRPr="002F6A28">
              <w:br/>
              <w:t>111 Sussex Drive</w:t>
            </w:r>
            <w:r w:rsidRPr="002F6A28">
              <w:br/>
              <w:t>Ottawa, ON K1A 0G2</w:t>
            </w:r>
            <w:r w:rsidRPr="002F6A28">
              <w:br/>
              <w:t>Canada</w:t>
            </w:r>
            <w:r w:rsidRPr="002F6A28">
              <w:br/>
              <w:t>Telephone: (343)203-4273</w:t>
            </w:r>
            <w:r w:rsidRPr="002F6A28">
              <w:br/>
              <w:t>Fax: (613)943-0346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enquirypoint@international.gc.ca</w:t>
              </w:r>
            </w:hyperlink>
            <w:bookmarkEnd w:id="7"/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7428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Radiocommunications (ICS 33.060)</w:t>
            </w:r>
            <w:bookmarkStart w:id="20" w:name="sps3a"/>
            <w:bookmarkEnd w:id="20"/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Consultation of RSS-125, Issue 3, (6 pages, available in English &amp; French)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Notice is hereby given by the Ministry of Innovation, Science and Economic Development Canada that the following consultation has been published at </w:t>
            </w:r>
            <w:hyperlink r:id="rId8" w:history="1">
              <w:r w:rsidR="00FE448B" w:rsidRPr="00C379C8">
                <w:rPr>
                  <w:color w:val="0000FF"/>
                  <w:u w:val="single"/>
                </w:rPr>
                <w:t>Web site</w:t>
              </w:r>
            </w:hyperlink>
            <w:r w:rsidR="00FE448B" w:rsidRPr="00C379C8">
              <w:t>:</w:t>
            </w:r>
          </w:p>
          <w:p w:rsidR="00FE448B" w:rsidRPr="00C379C8" w:rsidRDefault="00074281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RSS-125, Issue 3, </w:t>
            </w:r>
            <w:r w:rsidRPr="00C379C8">
              <w:rPr>
                <w:i/>
                <w:iCs/>
              </w:rPr>
              <w:t>Land Mobile and Fixed Equipment Operating in the Frequency Range 1.705 MHz to 30 MHz</w:t>
            </w:r>
            <w:r w:rsidRPr="00C379C8">
              <w:t>, sets out certification requirements for licensed radio apparatus operating in the land mobile and fixed services allocated within the 1.705 MHz to 30 MHz frequency band.</w:t>
            </w:r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Consultation</w:t>
            </w:r>
            <w:bookmarkStart w:id="27" w:name="sps7f"/>
            <w:bookmarkEnd w:id="27"/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FC1D88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Not applicable </w:t>
            </w:r>
          </w:p>
        </w:tc>
      </w:tr>
      <w:tr w:rsidR="00D5497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742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7428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Not applicable </w:t>
            </w:r>
            <w:bookmarkEnd w:id="31"/>
          </w:p>
          <w:p w:rsidR="00EE3A11" w:rsidRPr="002F6A28" w:rsidRDefault="0007428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Not applicable </w:t>
            </w:r>
            <w:bookmarkEnd w:id="34"/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7428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20 March 2020</w:t>
            </w:r>
            <w:bookmarkStart w:id="36" w:name="sps12a"/>
            <w:bookmarkEnd w:id="36"/>
          </w:p>
        </w:tc>
      </w:tr>
      <w:tr w:rsidR="00D5497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7428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7428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C1D88" w:rsidRDefault="00074281" w:rsidP="00FC1D88">
            <w:pPr>
              <w:keepNext/>
              <w:keepLines/>
              <w:spacing w:before="120" w:after="120"/>
              <w:jc w:val="left"/>
            </w:pPr>
            <w:r w:rsidRPr="002F6A28">
              <w:t xml:space="preserve">The electronic version of the regulatory text and comments can be submitted at the following Web site: </w:t>
            </w:r>
          </w:p>
          <w:p w:rsidR="00FC1D88" w:rsidRDefault="00D004AF" w:rsidP="00FC1D88">
            <w:pPr>
              <w:keepNext/>
              <w:keepLines/>
              <w:spacing w:before="120" w:after="120"/>
              <w:jc w:val="left"/>
            </w:pPr>
            <w:hyperlink r:id="rId9" w:history="1">
              <w:r w:rsidR="00074281" w:rsidRPr="002F6A28">
                <w:rPr>
                  <w:color w:val="0000FF"/>
                  <w:u w:val="single"/>
                </w:rPr>
                <w:t>https://www.rabc-cccr.ca/news/ised-radio-standards-specification-rss-125-issue-3-january-2020-land-mobile-and-fixed-equipment-operating-in-the-frequency-range-1-705-to-30-mhz/</w:t>
              </w:r>
            </w:hyperlink>
          </w:p>
          <w:p w:rsidR="00CC35DB" w:rsidRPr="002F6A28" w:rsidRDefault="00D004AF" w:rsidP="00FC1D88">
            <w:pPr>
              <w:keepNext/>
              <w:keepLines/>
              <w:spacing w:before="120" w:after="120"/>
              <w:jc w:val="left"/>
            </w:pPr>
            <w:hyperlink r:id="rId10" w:history="1">
              <w:r w:rsidR="00074281" w:rsidRPr="002F6A28">
                <w:rPr>
                  <w:color w:val="0000FF"/>
                  <w:u w:val="single"/>
                </w:rPr>
                <w:t>https://www.rabc-cccr.ca/fr/quoi-de-neuf/isde-cahier-des-charges-sur-les-normes-radioelectriques-cnr-125-3e-edition-janvier-2020-materiel-des-services-fixe-et-mobile-terrestre-fonctionnant-dans-la-gamme-de-frequences-de-1705-a-30-mhz/</w:t>
              </w:r>
            </w:hyperlink>
            <w:r w:rsidR="00074281" w:rsidRPr="002F6A28">
              <w:t xml:space="preserve"> </w:t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D8" w:rsidRDefault="00074281">
      <w:r>
        <w:separator/>
      </w:r>
    </w:p>
  </w:endnote>
  <w:endnote w:type="continuationSeparator" w:id="0">
    <w:p w:rsidR="009351D8" w:rsidRDefault="000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74281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74281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74281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D8" w:rsidRDefault="00074281">
      <w:r>
        <w:separator/>
      </w:r>
    </w:p>
  </w:footnote>
  <w:footnote w:type="continuationSeparator" w:id="0">
    <w:p w:rsidR="009351D8" w:rsidRDefault="0007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7428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7428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7428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G/TBT/N/CAN/602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74281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497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5497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7428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12263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5497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7428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G/TBT/N/CAN/602</w:t>
          </w:r>
          <w:bookmarkEnd w:id="43"/>
        </w:p>
      </w:tc>
    </w:tr>
    <w:tr w:rsidR="00D5497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7428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January 2020</w:t>
          </w:r>
        </w:p>
      </w:tc>
    </w:tr>
    <w:tr w:rsidR="00D5497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7428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20-0</w:t>
          </w:r>
          <w:r w:rsidR="00D004AF">
            <w:rPr>
              <w:color w:val="FF0000"/>
              <w:szCs w:val="16"/>
            </w:rPr>
            <w:t>338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7428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5497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7428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7428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English, French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4923C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3AC39C" w:tentative="1">
      <w:start w:val="1"/>
      <w:numFmt w:val="lowerLetter"/>
      <w:lvlText w:val="%2."/>
      <w:lvlJc w:val="left"/>
      <w:pPr>
        <w:ind w:left="1080" w:hanging="360"/>
      </w:pPr>
    </w:lvl>
    <w:lvl w:ilvl="2" w:tplc="EEC4743A" w:tentative="1">
      <w:start w:val="1"/>
      <w:numFmt w:val="lowerRoman"/>
      <w:lvlText w:val="%3."/>
      <w:lvlJc w:val="right"/>
      <w:pPr>
        <w:ind w:left="1800" w:hanging="180"/>
      </w:pPr>
    </w:lvl>
    <w:lvl w:ilvl="3" w:tplc="38BCD4EC" w:tentative="1">
      <w:start w:val="1"/>
      <w:numFmt w:val="decimal"/>
      <w:lvlText w:val="%4."/>
      <w:lvlJc w:val="left"/>
      <w:pPr>
        <w:ind w:left="2520" w:hanging="360"/>
      </w:pPr>
    </w:lvl>
    <w:lvl w:ilvl="4" w:tplc="E56C1BB2" w:tentative="1">
      <w:start w:val="1"/>
      <w:numFmt w:val="lowerLetter"/>
      <w:lvlText w:val="%5."/>
      <w:lvlJc w:val="left"/>
      <w:pPr>
        <w:ind w:left="3240" w:hanging="360"/>
      </w:pPr>
    </w:lvl>
    <w:lvl w:ilvl="5" w:tplc="D8607AC8" w:tentative="1">
      <w:start w:val="1"/>
      <w:numFmt w:val="lowerRoman"/>
      <w:lvlText w:val="%6."/>
      <w:lvlJc w:val="right"/>
      <w:pPr>
        <w:ind w:left="3960" w:hanging="180"/>
      </w:pPr>
    </w:lvl>
    <w:lvl w:ilvl="6" w:tplc="C3064724" w:tentative="1">
      <w:start w:val="1"/>
      <w:numFmt w:val="decimal"/>
      <w:lvlText w:val="%7."/>
      <w:lvlJc w:val="left"/>
      <w:pPr>
        <w:ind w:left="4680" w:hanging="360"/>
      </w:pPr>
    </w:lvl>
    <w:lvl w:ilvl="7" w:tplc="A62A195E" w:tentative="1">
      <w:start w:val="1"/>
      <w:numFmt w:val="lowerLetter"/>
      <w:lvlText w:val="%8."/>
      <w:lvlJc w:val="left"/>
      <w:pPr>
        <w:ind w:left="5400" w:hanging="360"/>
      </w:pPr>
    </w:lvl>
    <w:lvl w:ilvl="8" w:tplc="9E56E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7D0F1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A20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2ED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C801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B27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56A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A640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8AC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487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281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51D8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35DB"/>
    <w:rsid w:val="00CD7D97"/>
    <w:rsid w:val="00CE3EE6"/>
    <w:rsid w:val="00CE4BA1"/>
    <w:rsid w:val="00D000C7"/>
    <w:rsid w:val="00D004AF"/>
    <w:rsid w:val="00D52A9D"/>
    <w:rsid w:val="00D5497A"/>
    <w:rsid w:val="00D55AAD"/>
    <w:rsid w:val="00D70F5B"/>
    <w:rsid w:val="00D747AE"/>
    <w:rsid w:val="00D9226C"/>
    <w:rsid w:val="00DA0159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1D88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9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consultations/op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quoi-de-neuf/isde-cahier-des-charges-sur-les-normes-radioelectriques-cnr-125-3e-edition-janvier-2020-materiel-des-services-fixe-et-mobile-terrestre-fonctionnant-dans-la-gamme-de-frequences-de-1705-a-30-mh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news/ised-radio-standards-specification-rss-125-issue-3-january-2020-land-mobile-and-fixed-equipment-operating-in-the-frequency-range-1-705-to-30-mhz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2226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2020-01-13T09:37:00Z</dcterms:created>
  <dcterms:modified xsi:type="dcterms:W3CDTF">2020-01-13T14:06:00Z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