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71DB0" w:rsidP="002F6A28">
      <w:pPr>
        <w:pStyle w:val="Titre"/>
        <w:rPr>
          <w:caps w:val="0"/>
          <w:kern w:val="0"/>
        </w:rPr>
      </w:pPr>
      <w:r w:rsidRPr="002F6A28">
        <w:rPr>
          <w:caps w:val="0"/>
          <w:kern w:val="0"/>
        </w:rPr>
        <w:t>NOTIFICATION</w:t>
      </w:r>
    </w:p>
    <w:p w:rsidR="009239F7" w:rsidRPr="002F6A28" w:rsidRDefault="00671DB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B1C80" w:rsidTr="0069259F">
        <w:tc>
          <w:tcPr>
            <w:tcW w:w="713" w:type="dxa"/>
            <w:tcBorders>
              <w:bottom w:val="single" w:sz="6" w:space="0" w:color="auto"/>
            </w:tcBorders>
            <w:shd w:val="clear" w:color="auto" w:fill="auto"/>
          </w:tcPr>
          <w:p w:rsidR="00F85C99" w:rsidRPr="002F6A28" w:rsidRDefault="00671DB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71DB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rsidR="00F85C99" w:rsidRPr="002F6A28" w:rsidRDefault="00671DB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71DB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671DB0" w:rsidRDefault="00671DB0" w:rsidP="00155128">
            <w:pPr>
              <w:spacing w:before="120" w:after="120"/>
              <w:jc w:val="left"/>
            </w:pPr>
            <w:r w:rsidRPr="002F6A28">
              <w:t>Eurasian Economic Commission</w:t>
            </w:r>
            <w:r w:rsidRPr="002F6A28">
              <w:br/>
              <w:t>Department for technical regulation and accreditation</w:t>
            </w:r>
            <w:r w:rsidRPr="002F6A28">
              <w:br/>
              <w:t>Tel: +7(495)669-24-00</w:t>
            </w:r>
            <w:r w:rsidRPr="002F6A28">
              <w:br/>
              <w:t>Fax: +7(495)669-24-15</w:t>
            </w:r>
            <w:r w:rsidRPr="002F6A28">
              <w:br/>
              <w:t xml:space="preserve">E-mail: </w:t>
            </w:r>
            <w:hyperlink r:id="rId7" w:history="1">
              <w:r w:rsidRPr="002F6A28">
                <w:rPr>
                  <w:color w:val="0000FF"/>
                  <w:u w:val="single"/>
                </w:rPr>
                <w:t>dept_techregulation@eecommission.org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w:t>
            </w:r>
            <w:r w:rsidRPr="002F6A28">
              <w:br/>
            </w:r>
            <w:hyperlink r:id="rId9" w:history="1">
              <w:r w:rsidRPr="002F6A28">
                <w:rPr>
                  <w:color w:val="0000FF"/>
                  <w:u w:val="single"/>
                </w:rPr>
                <w:t>https://docs.eaeunion.org/ru-ru</w:t>
              </w:r>
            </w:hyperlink>
            <w:r w:rsidRPr="002F6A28">
              <w:t xml:space="preserve"> </w:t>
            </w:r>
          </w:p>
          <w:p w:rsidR="00671DB0" w:rsidRDefault="00671DB0" w:rsidP="00155128">
            <w:pPr>
              <w:spacing w:before="120" w:after="120"/>
              <w:jc w:val="left"/>
              <w:rPr>
                <w:color w:val="0000FF"/>
                <w:u w:val="single"/>
              </w:rPr>
            </w:pPr>
            <w:r w:rsidRPr="002F6A28">
              <w:t xml:space="preserve">The Ministry of Health of the Republic of Belarus </w:t>
            </w:r>
            <w:r w:rsidRPr="002F6A28">
              <w:br/>
              <w:t xml:space="preserve">Fax: (017) 222-46-27 </w:t>
            </w:r>
            <w:r w:rsidRPr="002F6A28">
              <w:br/>
              <w:t xml:space="preserve">e-mail: </w:t>
            </w:r>
            <w:hyperlink r:id="rId10" w:history="1">
              <w:r w:rsidRPr="002F6A28">
                <w:rPr>
                  <w:color w:val="0000FF"/>
                  <w:u w:val="single"/>
                </w:rPr>
                <w:t>mzrb@belcmt.by</w:t>
              </w:r>
            </w:hyperlink>
          </w:p>
          <w:p w:rsidR="00665355" w:rsidRPr="002F6A28" w:rsidRDefault="00671DB0" w:rsidP="00155128">
            <w:pPr>
              <w:spacing w:before="120" w:after="120"/>
              <w:jc w:val="left"/>
            </w:pPr>
            <w:r w:rsidRPr="002F6A28">
              <w:t>The Ministry of Health of the Russian Federation</w:t>
            </w:r>
            <w:r w:rsidRPr="002F6A28">
              <w:br/>
              <w:t>Tel: +7 (495) 628-44-53</w:t>
            </w:r>
            <w:r w:rsidRPr="002F6A28">
              <w:br/>
              <w:t xml:space="preserve">E-mail: </w:t>
            </w:r>
            <w:hyperlink r:id="rId11" w:history="1">
              <w:r w:rsidRPr="002F6A28">
                <w:rPr>
                  <w:color w:val="0000FF"/>
                  <w:u w:val="single"/>
                </w:rPr>
                <w:t>info@rosminzdrav.ru</w:t>
              </w:r>
            </w:hyperlink>
            <w:bookmarkEnd w:id="5"/>
          </w:p>
          <w:p w:rsidR="00F85C99" w:rsidRPr="002F6A28" w:rsidRDefault="00671DB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71DB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71DB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Medicaments (excluding goods of heading 30.02, 30.05 or 30.06) consisting of two or more constituents which have been mixed together for therapeutic or prophylactic uses, not put up in measured doses or in forms or packings for retail sale (HS 3003); Medicaments (excluding goods of heading 30.02, 30.05 or 30.06) consisting of mixed or unmixed products for therapeutic or prophylactic uses, put up in measured doses (including those in the form of transdermal administration systems) or in forms or packings for retail sale (HS 3004)</w:t>
            </w:r>
            <w:bookmarkStart w:id="20" w:name="sps3a"/>
            <w:bookmarkEnd w:id="20"/>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71DB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Requirements for stability testing of drugs and pharmaceutical substances. (2 page(s), in Russian)</w:t>
            </w:r>
            <w:bookmarkStart w:id="22" w:name="sps5a"/>
            <w:bookmarkStart w:id="23" w:name="sps5c"/>
            <w:bookmarkStart w:id="24" w:name="sps5b"/>
            <w:bookmarkEnd w:id="22"/>
            <w:bookmarkEnd w:id="23"/>
            <w:bookmarkEnd w:id="24"/>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71DB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to the Requirements for stability testing of drugs and pharmaceutical substances applies to put into circulation on the territory of the Eurasian economic Union drugs and calls for the unified approach to the definition of "production date of the series" in order to exclude the possibility of automatic updates of the shelf life of the pharmaceutical substance by a simple repackaging, and the calculation of the shelf life of finished drugs, issued in circulation in the customs territory of the Eurasian economic Union for the purpose of elimination of the possibility of automatic </w:t>
            </w:r>
            <w:r w:rsidR="00FE448B" w:rsidRPr="00C379C8">
              <w:lastRenderedPageBreak/>
              <w:t>renewal of the shelf life of the pharmaceutical substance by its simple repackaging, as well as the use in the production of substances with an expiration date not corresponding to the shelf life of finished drugs, which may lead to inconsistencies of expert reports and recognition. </w:t>
            </w:r>
          </w:p>
          <w:p w:rsidR="00FE448B" w:rsidRPr="00C379C8" w:rsidRDefault="00671DB0" w:rsidP="002F6A28">
            <w:pPr>
              <w:spacing w:after="120"/>
            </w:pPr>
            <w:r w:rsidRPr="00C379C8">
              <w:t>The draft guide has been prepared in order to:</w:t>
            </w:r>
          </w:p>
          <w:p w:rsidR="00FE448B" w:rsidRPr="00C379C8" w:rsidRDefault="00671DB0" w:rsidP="002F6A28">
            <w:pPr>
              <w:spacing w:after="120"/>
            </w:pPr>
            <w:r w:rsidRPr="00C379C8">
              <w:t>-</w:t>
            </w:r>
            <w:r>
              <w:tab/>
            </w:r>
            <w:r w:rsidRPr="00C379C8">
              <w:t>protection of life and health of the patient (as the final consumer of medicines);</w:t>
            </w:r>
          </w:p>
          <w:p w:rsidR="00FE448B" w:rsidRPr="00C379C8" w:rsidRDefault="00671DB0" w:rsidP="00671DB0">
            <w:pPr>
              <w:spacing w:after="120"/>
              <w:ind w:left="567" w:hanging="567"/>
            </w:pPr>
            <w:r w:rsidRPr="00C379C8">
              <w:t>-</w:t>
            </w:r>
            <w:r>
              <w:tab/>
            </w:r>
            <w:r w:rsidRPr="00C379C8">
              <w:t>protection of the interests of the health care system as a whole (as the primary consumer of medicines) </w:t>
            </w:r>
          </w:p>
          <w:p w:rsidR="00FE448B" w:rsidRPr="00C379C8" w:rsidRDefault="00671DB0" w:rsidP="00671DB0">
            <w:pPr>
              <w:spacing w:after="120"/>
              <w:ind w:left="567" w:hanging="567"/>
            </w:pPr>
            <w:r w:rsidRPr="00C379C8">
              <w:t>-</w:t>
            </w:r>
            <w:r>
              <w:tab/>
            </w:r>
            <w:r w:rsidRPr="00C379C8">
              <w:t>protection of the interests of the authorized bodies (expert organizations) that perform the procedure of evaluation of the registration dossier of the drug from the position of proof of its compliance with the specified quality standard.</w:t>
            </w:r>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71DB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71DB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671DB0" w:rsidP="009E75ED">
            <w:pPr>
              <w:spacing w:before="120" w:after="120"/>
            </w:pPr>
            <w:r w:rsidRPr="002F6A28">
              <w:rPr>
                <w:bCs/>
              </w:rPr>
              <w:t>Draft amendments to Requirements for stability testing of drugs and pharmaceutical substances </w:t>
            </w:r>
          </w:p>
          <w:p w:rsidR="00665355" w:rsidRPr="002F6A28" w:rsidRDefault="00FA1C6E" w:rsidP="009E75ED">
            <w:pPr>
              <w:spacing w:after="120"/>
              <w:rPr>
                <w:bCs/>
              </w:rPr>
            </w:pPr>
            <w:hyperlink r:id="rId12" w:history="1">
              <w:hyperlink r:id="rId13" w:history="1">
                <w:r w:rsidR="00671DB0" w:rsidRPr="002F6A28">
                  <w:rPr>
                    <w:bCs/>
                    <w:color w:val="0000FF"/>
                    <w:u w:val="single"/>
                  </w:rPr>
                  <w:t>https://docs.eaeunion.org/ria/ru-ru/0103838/ria_23122019</w:t>
                </w:r>
              </w:hyperlink>
            </w:hyperlink>
          </w:p>
          <w:p w:rsidR="00665355" w:rsidRPr="002F6A28" w:rsidRDefault="00671DB0" w:rsidP="009E75ED">
            <w:pPr>
              <w:spacing w:after="120"/>
              <w:rPr>
                <w:bCs/>
              </w:rPr>
            </w:pPr>
            <w:r w:rsidRPr="002F6A28">
              <w:rPr>
                <w:bCs/>
              </w:rPr>
              <w:t>Decision No.69 of the Board of the Eurasian economic Commission of 10 May 2018</w:t>
            </w:r>
          </w:p>
          <w:p w:rsidR="00665355" w:rsidRPr="002F6A28" w:rsidRDefault="00FA1C6E" w:rsidP="009E75ED">
            <w:pPr>
              <w:spacing w:after="120"/>
              <w:rPr>
                <w:bCs/>
              </w:rPr>
            </w:pPr>
            <w:hyperlink r:id="rId14" w:history="1">
              <w:r w:rsidR="00671DB0" w:rsidRPr="002F6A28">
                <w:rPr>
                  <w:bCs/>
                  <w:color w:val="0000FF"/>
                  <w:u w:val="single"/>
                </w:rPr>
                <w:t>http://www.eurasiancommission.org/ru/act/texnreg/deptexreg/LS1/Pages/drug_products.aspx</w:t>
              </w:r>
            </w:hyperlink>
          </w:p>
        </w:tc>
      </w:tr>
      <w:tr w:rsidR="005B1C80" w:rsidTr="00AE6CC8">
        <w:trPr>
          <w:cantSplit/>
        </w:trPr>
        <w:tc>
          <w:tcPr>
            <w:tcW w:w="713" w:type="dxa"/>
            <w:tcBorders>
              <w:top w:val="single" w:sz="6" w:space="0" w:color="auto"/>
              <w:bottom w:val="single" w:sz="6" w:space="0" w:color="auto"/>
            </w:tcBorders>
            <w:shd w:val="clear" w:color="auto" w:fill="auto"/>
          </w:tcPr>
          <w:p w:rsidR="00EE3A11" w:rsidRPr="002F6A28" w:rsidRDefault="00671D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71DB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rsidR="00EE3A11" w:rsidRPr="002F6A28" w:rsidRDefault="00671DB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5B1C80" w:rsidTr="0069259F">
        <w:tc>
          <w:tcPr>
            <w:tcW w:w="713" w:type="dxa"/>
            <w:tcBorders>
              <w:top w:val="single" w:sz="6" w:space="0" w:color="auto"/>
              <w:bottom w:val="single" w:sz="6" w:space="0" w:color="auto"/>
            </w:tcBorders>
            <w:shd w:val="clear" w:color="auto" w:fill="auto"/>
          </w:tcPr>
          <w:p w:rsidR="00F85C99" w:rsidRPr="002F6A28" w:rsidRDefault="00671D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71DB0" w:rsidP="002F6A28">
            <w:pPr>
              <w:spacing w:before="120" w:after="120"/>
            </w:pPr>
            <w:bookmarkStart w:id="35" w:name="X_TBT_Reg_10A"/>
            <w:r w:rsidRPr="002F6A28">
              <w:rPr>
                <w:b/>
              </w:rPr>
              <w:t>Final date for comments</w:t>
            </w:r>
            <w:bookmarkEnd w:id="35"/>
            <w:r w:rsidRPr="002F6A28">
              <w:rPr>
                <w:b/>
              </w:rPr>
              <w:t>:</w:t>
            </w:r>
            <w:r w:rsidR="00EE3A11" w:rsidRPr="00C379C8">
              <w:t xml:space="preserve"> 25 January 2020</w:t>
            </w:r>
            <w:bookmarkStart w:id="36" w:name="sps12a"/>
            <w:bookmarkEnd w:id="36"/>
          </w:p>
        </w:tc>
      </w:tr>
      <w:tr w:rsidR="005B1C80" w:rsidTr="0069259F">
        <w:tc>
          <w:tcPr>
            <w:tcW w:w="713" w:type="dxa"/>
            <w:tcBorders>
              <w:top w:val="single" w:sz="6" w:space="0" w:color="auto"/>
            </w:tcBorders>
            <w:shd w:val="clear" w:color="auto" w:fill="auto"/>
          </w:tcPr>
          <w:p w:rsidR="00F85C99" w:rsidRPr="002F6A28" w:rsidRDefault="00671D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71DB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65355" w:rsidRPr="002F6A28" w:rsidRDefault="00671DB0" w:rsidP="00B16145">
            <w:pPr>
              <w:keepNext/>
              <w:keepLines/>
              <w:spacing w:before="120" w:after="120"/>
              <w:jc w:val="left"/>
            </w:pPr>
            <w:r w:rsidRPr="002F6A28">
              <w:t>Eurasian Economic Commission</w:t>
            </w:r>
            <w:r w:rsidRPr="002F6A28">
              <w:br/>
              <w:t>Department for technical regulation and accreditation</w:t>
            </w:r>
            <w:r w:rsidRPr="002F6A28">
              <w:br/>
              <w:t>Tel: +7(495)669-24-00</w:t>
            </w:r>
            <w:r w:rsidRPr="002F6A28">
              <w:br/>
              <w:t>Fax: +7(495)669-24-15</w:t>
            </w:r>
            <w:r w:rsidRPr="002F6A28">
              <w:br/>
              <w:t xml:space="preserve">E-mail: </w:t>
            </w:r>
            <w:hyperlink r:id="rId15" w:history="1">
              <w:r w:rsidRPr="002F6A28">
                <w:rPr>
                  <w:color w:val="0000FF"/>
                  <w:u w:val="single"/>
                </w:rPr>
                <w:t>dept_techregulation@eecommission.org</w:t>
              </w:r>
            </w:hyperlink>
            <w:r w:rsidRPr="002F6A28">
              <w:t xml:space="preserve"> </w:t>
            </w:r>
            <w:r w:rsidRPr="002F6A28">
              <w:br/>
              <w:t xml:space="preserve">Web-site: </w:t>
            </w:r>
            <w:hyperlink r:id="rId16" w:history="1">
              <w:r w:rsidRPr="002F6A28">
                <w:rPr>
                  <w:color w:val="0000FF"/>
                  <w:u w:val="single"/>
                </w:rPr>
                <w:t>www.eurasiancommission.org</w:t>
              </w:r>
            </w:hyperlink>
            <w:r w:rsidRPr="002F6A28">
              <w:t>,</w:t>
            </w:r>
            <w:r w:rsidRPr="002F6A28">
              <w:br/>
            </w:r>
            <w:hyperlink r:id="rId17" w:history="1">
              <w:r w:rsidRPr="002F6A28">
                <w:rPr>
                  <w:color w:val="0000FF"/>
                  <w:u w:val="single"/>
                </w:rPr>
                <w:t>https://docs.eaeunion.org/ru-ru</w:t>
              </w:r>
            </w:hyperlink>
            <w:r w:rsidRPr="002F6A28">
              <w:t xml:space="preserve"> </w:t>
            </w:r>
          </w:p>
          <w:p w:rsidR="00665355" w:rsidRPr="002F6A28" w:rsidRDefault="00FA1C6E" w:rsidP="00B16145">
            <w:pPr>
              <w:keepNext/>
              <w:keepLines/>
              <w:spacing w:before="120" w:after="120"/>
              <w:jc w:val="left"/>
            </w:pPr>
            <w:hyperlink r:id="rId18" w:history="1">
              <w:r w:rsidR="00671DB0" w:rsidRPr="002F6A28">
                <w:rPr>
                  <w:color w:val="0000FF"/>
                  <w:u w:val="single"/>
                </w:rPr>
                <w:t>https://docs.eaeunion.org/ria/ru-ru/0103838/ria_23122019</w:t>
              </w:r>
            </w:hyperlink>
            <w:r w:rsidR="00671DB0" w:rsidRPr="002F6A28">
              <w:br/>
            </w:r>
            <w:hyperlink r:id="rId19" w:history="1">
              <w:r w:rsidR="00671DB0" w:rsidRPr="002F6A28">
                <w:rPr>
                  <w:color w:val="0000FF"/>
                  <w:u w:val="single"/>
                </w:rPr>
                <w:t>http://www.eurasiancommission.org/ru/act/texnreg/deptexreg/LS1/Pages/drug_products.aspx</w:t>
              </w:r>
            </w:hyperlink>
            <w:bookmarkEnd w:id="40"/>
          </w:p>
        </w:tc>
      </w:tr>
    </w:tbl>
    <w:p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20" w:rsidRDefault="00671DB0">
      <w:r>
        <w:separator/>
      </w:r>
    </w:p>
  </w:endnote>
  <w:endnote w:type="continuationSeparator" w:id="0">
    <w:p w:rsidR="000D3720" w:rsidRDefault="006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1DB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1DB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71DB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20" w:rsidRDefault="00671DB0">
      <w:r>
        <w:separator/>
      </w:r>
    </w:p>
  </w:footnote>
  <w:footnote w:type="continuationSeparator" w:id="0">
    <w:p w:rsidR="000D3720" w:rsidRDefault="0067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1DB0"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71DB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1DB0" w:rsidP="009239F7">
    <w:pPr>
      <w:pStyle w:val="En-tte"/>
      <w:pBdr>
        <w:bottom w:val="single" w:sz="4" w:space="1" w:color="auto"/>
      </w:pBdr>
      <w:tabs>
        <w:tab w:val="clear" w:pos="4513"/>
        <w:tab w:val="clear" w:pos="9027"/>
      </w:tabs>
      <w:jc w:val="center"/>
    </w:pPr>
    <w:bookmarkStart w:id="41" w:name="spsSymbolHeader"/>
    <w:r w:rsidRPr="002F6A28">
      <w:t>G/TBT/N/RUS/94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71DB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1C8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B1C80" w:rsidTr="008612A9">
      <w:trPr>
        <w:trHeight w:val="213"/>
        <w:jc w:val="center"/>
      </w:trPr>
      <w:tc>
        <w:tcPr>
          <w:tcW w:w="3794" w:type="dxa"/>
          <w:vMerge w:val="restart"/>
          <w:shd w:val="clear" w:color="auto" w:fill="FFFFFF"/>
          <w:tcMar>
            <w:left w:w="0" w:type="dxa"/>
            <w:right w:w="0" w:type="dxa"/>
          </w:tcMar>
        </w:tcPr>
        <w:p w:rsidR="00ED54E0" w:rsidRPr="009239F7" w:rsidRDefault="00671DB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584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B1C8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71DB0" w:rsidP="00B801E9">
          <w:pPr>
            <w:jc w:val="right"/>
            <w:rPr>
              <w:b/>
              <w:szCs w:val="16"/>
            </w:rPr>
          </w:pPr>
          <w:bookmarkStart w:id="43" w:name="bmkSymbols"/>
          <w:r w:rsidRPr="002F6A28">
            <w:rPr>
              <w:b/>
              <w:szCs w:val="16"/>
            </w:rPr>
            <w:t>G/TBT/N/RUS/94</w:t>
          </w:r>
          <w:bookmarkEnd w:id="43"/>
        </w:p>
      </w:tc>
    </w:tr>
    <w:tr w:rsidR="005B1C8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71DB0" w:rsidP="00B801E9">
          <w:pPr>
            <w:jc w:val="right"/>
            <w:rPr>
              <w:szCs w:val="16"/>
            </w:rPr>
          </w:pPr>
          <w:bookmarkStart w:id="44" w:name="spsDateDistribution"/>
          <w:bookmarkStart w:id="45" w:name="bmkDate"/>
          <w:bookmarkEnd w:id="44"/>
          <w:bookmarkEnd w:id="45"/>
          <w:r>
            <w:rPr>
              <w:szCs w:val="16"/>
            </w:rPr>
            <w:t>7 January 2020</w:t>
          </w:r>
        </w:p>
      </w:tc>
    </w:tr>
    <w:tr w:rsidR="005B1C8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71DB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FA1C6E">
            <w:rPr>
              <w:color w:val="FF0000"/>
              <w:szCs w:val="16"/>
            </w:rPr>
            <w:t>0073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71DB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B1C8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1DB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71DB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740B50">
      <w:start w:val="1"/>
      <w:numFmt w:val="decimal"/>
      <w:pStyle w:val="SummaryText"/>
      <w:lvlText w:val="%1."/>
      <w:lvlJc w:val="left"/>
      <w:pPr>
        <w:ind w:left="360" w:hanging="360"/>
      </w:pPr>
    </w:lvl>
    <w:lvl w:ilvl="1" w:tplc="79B24850" w:tentative="1">
      <w:start w:val="1"/>
      <w:numFmt w:val="lowerLetter"/>
      <w:lvlText w:val="%2."/>
      <w:lvlJc w:val="left"/>
      <w:pPr>
        <w:ind w:left="1080" w:hanging="360"/>
      </w:pPr>
    </w:lvl>
    <w:lvl w:ilvl="2" w:tplc="8A904B02" w:tentative="1">
      <w:start w:val="1"/>
      <w:numFmt w:val="lowerRoman"/>
      <w:lvlText w:val="%3."/>
      <w:lvlJc w:val="right"/>
      <w:pPr>
        <w:ind w:left="1800" w:hanging="180"/>
      </w:pPr>
    </w:lvl>
    <w:lvl w:ilvl="3" w:tplc="DE4E1260" w:tentative="1">
      <w:start w:val="1"/>
      <w:numFmt w:val="decimal"/>
      <w:lvlText w:val="%4."/>
      <w:lvlJc w:val="left"/>
      <w:pPr>
        <w:ind w:left="2520" w:hanging="360"/>
      </w:pPr>
    </w:lvl>
    <w:lvl w:ilvl="4" w:tplc="50C4F18E" w:tentative="1">
      <w:start w:val="1"/>
      <w:numFmt w:val="lowerLetter"/>
      <w:lvlText w:val="%5."/>
      <w:lvlJc w:val="left"/>
      <w:pPr>
        <w:ind w:left="3240" w:hanging="360"/>
      </w:pPr>
    </w:lvl>
    <w:lvl w:ilvl="5" w:tplc="97C28B26" w:tentative="1">
      <w:start w:val="1"/>
      <w:numFmt w:val="lowerRoman"/>
      <w:lvlText w:val="%6."/>
      <w:lvlJc w:val="right"/>
      <w:pPr>
        <w:ind w:left="3960" w:hanging="180"/>
      </w:pPr>
    </w:lvl>
    <w:lvl w:ilvl="6" w:tplc="9F5AC81E" w:tentative="1">
      <w:start w:val="1"/>
      <w:numFmt w:val="decimal"/>
      <w:lvlText w:val="%7."/>
      <w:lvlJc w:val="left"/>
      <w:pPr>
        <w:ind w:left="4680" w:hanging="360"/>
      </w:pPr>
    </w:lvl>
    <w:lvl w:ilvl="7" w:tplc="C23E6F70" w:tentative="1">
      <w:start w:val="1"/>
      <w:numFmt w:val="lowerLetter"/>
      <w:lvlText w:val="%8."/>
      <w:lvlJc w:val="left"/>
      <w:pPr>
        <w:ind w:left="5400" w:hanging="360"/>
      </w:pPr>
    </w:lvl>
    <w:lvl w:ilvl="8" w:tplc="734C8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372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2EC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1C80"/>
    <w:rsid w:val="005B68C7"/>
    <w:rsid w:val="005B7054"/>
    <w:rsid w:val="005C5BA4"/>
    <w:rsid w:val="005D5981"/>
    <w:rsid w:val="005F30CB"/>
    <w:rsid w:val="005F6444"/>
    <w:rsid w:val="00612644"/>
    <w:rsid w:val="00623F9F"/>
    <w:rsid w:val="00643C1F"/>
    <w:rsid w:val="00655881"/>
    <w:rsid w:val="0066043C"/>
    <w:rsid w:val="006607BC"/>
    <w:rsid w:val="00665355"/>
    <w:rsid w:val="00671DB0"/>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13D5"/>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1C6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30E"/>
  <w15:docId w15:val="{D8ECFFDB-CED0-416A-9756-E293131F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ria/ru-ru/0103838/ria_23122019" TargetMode="External"/><Relationship Id="rId18" Type="http://schemas.openxmlformats.org/officeDocument/2006/relationships/hyperlink" Target="https://docs.eaeunion.org/ria/ru-ru/0103838/ria_23122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ept_techregulation@eecommission.org" TargetMode="External"/><Relationship Id="rId12" Type="http://schemas.openxmlformats.org/officeDocument/2006/relationships/hyperlink" Target="https://docs.eaeunion.org/ria/ru-ru/0103838/ria_23122019" TargetMode="External"/><Relationship Id="rId17" Type="http://schemas.openxmlformats.org/officeDocument/2006/relationships/hyperlink" Target="https://docs.eaeunion.org/ru-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urasiancommission.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sminzdrav.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ept_techregulation@eecommission.org" TargetMode="External"/><Relationship Id="rId23" Type="http://schemas.openxmlformats.org/officeDocument/2006/relationships/footer" Target="footer2.xml"/><Relationship Id="rId10" Type="http://schemas.openxmlformats.org/officeDocument/2006/relationships/hyperlink" Target="mailto:mzrb@belcmt.by" TargetMode="External"/><Relationship Id="rId19" Type="http://schemas.openxmlformats.org/officeDocument/2006/relationships/hyperlink" Target="http://www.eurasiancommission.org/ru/act/texnreg/deptexreg/LS1/Pages/drug_products.aspx" TargetMode="External"/><Relationship Id="rId4" Type="http://schemas.openxmlformats.org/officeDocument/2006/relationships/webSettings" Target="webSettings.xml"/><Relationship Id="rId9" Type="http://schemas.openxmlformats.org/officeDocument/2006/relationships/hyperlink" Target="https://docs.eaeunion.org/ru-ru" TargetMode="External"/><Relationship Id="rId14" Type="http://schemas.openxmlformats.org/officeDocument/2006/relationships/hyperlink" Target="http://www.eurasiancommission.org/ru/act/texnreg/deptexreg/LS1/Pages/drug_products.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2020-01-07T13:48:00Z</dcterms:created>
  <dcterms:modified xsi:type="dcterms:W3CDTF">2020-01-07T14:26:00Z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