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20609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2060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2C57D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2060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2060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Saint Lucia</w:t>
            </w:r>
            <w:bookmarkEnd w:id="1"/>
            <w:r w:rsidRPr="002F6A28">
              <w:t xml:space="preserve"> </w:t>
            </w:r>
          </w:p>
          <w:p w:rsidR="00F85C99" w:rsidRPr="002F6A28" w:rsidRDefault="00C2060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</w:t>
            </w:r>
            <w:bookmarkStart w:id="3" w:name="_GoBack"/>
            <w:bookmarkEnd w:id="3"/>
            <w:r w:rsidRPr="002F6A28">
              <w:rPr>
                <w:b/>
              </w:rPr>
              <w:t>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2C57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60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609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Saint Lucia Bureau of Standards</w:t>
            </w:r>
            <w:bookmarkEnd w:id="6"/>
          </w:p>
          <w:p w:rsidR="00F85C99" w:rsidRPr="002F6A28" w:rsidRDefault="00C20609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2C57D3" w:rsidRPr="002F6A28" w:rsidRDefault="00C20609" w:rsidP="00AA646C">
            <w:pPr>
              <w:spacing w:after="120"/>
              <w:jc w:val="left"/>
            </w:pPr>
            <w:r w:rsidRPr="002F6A28">
              <w:t>Saint Lucia Bureau of Standards</w:t>
            </w:r>
            <w:r w:rsidRPr="002F6A28">
              <w:br/>
              <w:t>Bisee Industrial Estate</w:t>
            </w:r>
            <w:r w:rsidRPr="002F6A28">
              <w:br/>
              <w:t>1758-453-0049/4560102/4560546</w:t>
            </w:r>
            <w:r w:rsidRPr="002F6A28">
              <w:br/>
              <w:t>Fax. 1-758-453-7166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info@slbs.org</w:t>
              </w:r>
            </w:hyperlink>
            <w:r w:rsidRPr="002F6A28">
              <w:t xml:space="preserve"> </w:t>
            </w:r>
            <w:r w:rsidRPr="002F6A28">
              <w:br/>
            </w:r>
            <w:hyperlink r:id="rId8" w:history="1">
              <w:r w:rsidRPr="002F6A28">
                <w:rPr>
                  <w:color w:val="0000FF"/>
                  <w:u w:val="single"/>
                </w:rPr>
                <w:t>slbs@candw.lc</w:t>
              </w:r>
            </w:hyperlink>
            <w:r w:rsidRPr="002F6A28">
              <w:t xml:space="preserve"> 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v.fontenelle@slbs.org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www.slbs.org</w:t>
              </w:r>
            </w:hyperlink>
            <w:bookmarkEnd w:id="8"/>
          </w:p>
        </w:tc>
      </w:tr>
      <w:tr w:rsidR="002C57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6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20609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2C57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60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609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Measuring instruments subject to pattern or type approval under Saint Lucia's Metrology Act Chapter</w:t>
            </w:r>
            <w:r>
              <w:t> </w:t>
            </w:r>
            <w:r w:rsidR="00EE3A11" w:rsidRPr="00C379C8">
              <w:t>13.18. 8413.11 Fuel dispensers 8413.91 Other 8423.20 Scales for continuous weighing of goods on conveyors 8423.30 Constant weight scales and scales for discharging a predetermined weight of material into a bag or container, including hopper scales 8423.81 Having a maximum weighing capacity not exceeding 30 kg 8423.82 Having a maximum weighing capacity exceeding 30 kg but not exceeding 5,000 kg 8423.89 Other 8423.90 Weighing machine weights of all kinds; parts of weighing machinery 9016.00 Balances of a sensitivity of 5 cg or better, with or without weights. 9017.80 Other instruments 9018.90 Blood pressure monitors 9024.80 Other machines and appliances 9025.11 Liquid-filled, for direct reading 9025.19 Other 9026.20 For measuring or checking pressure 9027.80 Breathalyzers 9028.10 Gas meters 9028.20 Water meters 9028.30 Electrical energy meters 9031.80 Other instruments</w:t>
            </w:r>
            <w:bookmarkStart w:id="21" w:name="sps3a"/>
            <w:bookmarkEnd w:id="21"/>
          </w:p>
        </w:tc>
      </w:tr>
      <w:tr w:rsidR="002C57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60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609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Statutory Instrument No.98 of 2019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2C57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6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609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procedure for pattern or type approval of measuring instruments, as given in the Metrology Act Chapter 13.18,  has been amended. </w:t>
            </w:r>
          </w:p>
        </w:tc>
      </w:tr>
      <w:tr w:rsidR="002C57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6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60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Alignment of  Saint Lucia's procedure for type or pattern approval of measuring instruments with international best practice as per OIML publications and conformity assessment principles.</w:t>
            </w:r>
            <w:r w:rsidR="00EE3A11" w:rsidRPr="00C379C8">
              <w:rPr>
                <w:b/>
                <w:bCs/>
              </w:rPr>
              <w:t xml:space="preserve">  </w:t>
            </w:r>
            <w:r w:rsidR="00EE3A11" w:rsidRPr="00C379C8">
              <w:t>; Harmonization; Other</w:t>
            </w:r>
            <w:bookmarkStart w:id="28" w:name="sps7f"/>
            <w:bookmarkEnd w:id="28"/>
          </w:p>
        </w:tc>
      </w:tr>
      <w:tr w:rsidR="002C57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60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C2060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2C57D3" w:rsidRPr="002F6A28" w:rsidRDefault="00C2060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Metrology Act Cap. 13.18, Statutory Instrument  No. 98 of  2019.</w:t>
            </w:r>
          </w:p>
        </w:tc>
      </w:tr>
      <w:tr w:rsidR="002C57D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206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20609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1 October 2019</w:t>
            </w:r>
            <w:bookmarkStart w:id="31" w:name="sps10a"/>
            <w:bookmarkStart w:id="32" w:name="sps10b"/>
            <w:bookmarkEnd w:id="31"/>
            <w:bookmarkEnd w:id="32"/>
          </w:p>
          <w:p w:rsidR="00EE3A11" w:rsidRPr="002F6A28" w:rsidRDefault="00C20609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1 October 2019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2C57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6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0609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1 November 2019</w:t>
            </w:r>
            <w:bookmarkStart w:id="37" w:name="sps12a"/>
            <w:bookmarkEnd w:id="37"/>
          </w:p>
        </w:tc>
      </w:tr>
      <w:tr w:rsidR="002C57D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2060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20609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2C57D3" w:rsidRPr="002F6A28" w:rsidRDefault="00830B16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C20609" w:rsidRPr="002F6A28">
                <w:rPr>
                  <w:color w:val="0000FF"/>
                  <w:u w:val="single"/>
                </w:rPr>
                <w:t>slbs@candw.lc</w:t>
              </w:r>
            </w:hyperlink>
            <w:r w:rsidR="00C20609" w:rsidRPr="002F6A28">
              <w:t>;</w:t>
            </w:r>
            <w:r w:rsidR="00C20609" w:rsidRPr="002F6A28">
              <w:br/>
            </w:r>
            <w:hyperlink r:id="rId12" w:history="1">
              <w:r w:rsidR="00C20609" w:rsidRPr="002F6A28">
                <w:rPr>
                  <w:color w:val="0000FF"/>
                  <w:u w:val="single"/>
                </w:rPr>
                <w:t>info@slbs.org</w:t>
              </w:r>
            </w:hyperlink>
            <w:r w:rsidR="00C20609" w:rsidRPr="002F6A28">
              <w:t>;</w:t>
            </w:r>
            <w:r w:rsidR="00C20609" w:rsidRPr="002F6A28">
              <w:br/>
            </w:r>
            <w:hyperlink r:id="rId13" w:history="1">
              <w:r w:rsidR="00C20609" w:rsidRPr="002F6A28">
                <w:rPr>
                  <w:color w:val="0000FF"/>
                  <w:u w:val="single"/>
                </w:rPr>
                <w:t>v.fontenelle@slbs.org</w:t>
              </w:r>
            </w:hyperlink>
            <w:r w:rsidR="00C20609" w:rsidRPr="002F6A28">
              <w:br/>
            </w:r>
            <w:hyperlink r:id="rId14" w:history="1">
              <w:r w:rsidR="00C20609" w:rsidRPr="002F6A28">
                <w:rPr>
                  <w:color w:val="0000FF"/>
                  <w:u w:val="single"/>
                </w:rPr>
                <w:t>www.slbs.org</w:t>
              </w:r>
            </w:hyperlink>
          </w:p>
          <w:p w:rsidR="002C57D3" w:rsidRPr="002F6A28" w:rsidRDefault="00830B16" w:rsidP="00B16145">
            <w:pPr>
              <w:keepNext/>
              <w:keepLines/>
              <w:spacing w:before="120" w:after="120"/>
            </w:pPr>
            <w:hyperlink r:id="rId15" w:history="1">
              <w:r w:rsidR="00C20609" w:rsidRPr="002F6A28">
                <w:rPr>
                  <w:color w:val="0000FF"/>
                  <w:u w:val="single"/>
                </w:rPr>
                <w:t>https://members.wto.org/crnattachments/2019/TBT/LCA/19_5113_00_e.pdf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D8C" w:rsidRDefault="00C20609">
      <w:r>
        <w:separator/>
      </w:r>
    </w:p>
  </w:endnote>
  <w:endnote w:type="continuationSeparator" w:id="0">
    <w:p w:rsidR="000A1D8C" w:rsidRDefault="00C2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20609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20609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20609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D8C" w:rsidRDefault="00C20609">
      <w:r>
        <w:separator/>
      </w:r>
    </w:p>
  </w:footnote>
  <w:footnote w:type="continuationSeparator" w:id="0">
    <w:p w:rsidR="000A1D8C" w:rsidRDefault="00C2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2060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2060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2060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G/TBT/N/LCA/55</w:t>
    </w:r>
    <w:bookmarkEnd w:id="42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2060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57D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2C57D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30B16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C57D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C20609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G/TBT/N/LCA/55</w:t>
          </w:r>
          <w:bookmarkEnd w:id="44"/>
        </w:p>
      </w:tc>
    </w:tr>
    <w:tr w:rsidR="002C57D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20609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23 September 2019</w:t>
          </w:r>
        </w:p>
      </w:tc>
    </w:tr>
    <w:tr w:rsidR="002C57D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20609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</w:t>
          </w:r>
          <w:r w:rsidR="00830B16">
            <w:rPr>
              <w:color w:val="FF0000"/>
              <w:szCs w:val="16"/>
            </w:rPr>
            <w:t>6095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2060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C57D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2060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2060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AA39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AEE910" w:tentative="1">
      <w:start w:val="1"/>
      <w:numFmt w:val="lowerLetter"/>
      <w:lvlText w:val="%2."/>
      <w:lvlJc w:val="left"/>
      <w:pPr>
        <w:ind w:left="1080" w:hanging="360"/>
      </w:pPr>
    </w:lvl>
    <w:lvl w:ilvl="2" w:tplc="A3102C64" w:tentative="1">
      <w:start w:val="1"/>
      <w:numFmt w:val="lowerRoman"/>
      <w:lvlText w:val="%3."/>
      <w:lvlJc w:val="right"/>
      <w:pPr>
        <w:ind w:left="1800" w:hanging="180"/>
      </w:pPr>
    </w:lvl>
    <w:lvl w:ilvl="3" w:tplc="4EBC09DA" w:tentative="1">
      <w:start w:val="1"/>
      <w:numFmt w:val="decimal"/>
      <w:lvlText w:val="%4."/>
      <w:lvlJc w:val="left"/>
      <w:pPr>
        <w:ind w:left="2520" w:hanging="360"/>
      </w:pPr>
    </w:lvl>
    <w:lvl w:ilvl="4" w:tplc="46208FEA" w:tentative="1">
      <w:start w:val="1"/>
      <w:numFmt w:val="lowerLetter"/>
      <w:lvlText w:val="%5."/>
      <w:lvlJc w:val="left"/>
      <w:pPr>
        <w:ind w:left="3240" w:hanging="360"/>
      </w:pPr>
    </w:lvl>
    <w:lvl w:ilvl="5" w:tplc="B1B04878" w:tentative="1">
      <w:start w:val="1"/>
      <w:numFmt w:val="lowerRoman"/>
      <w:lvlText w:val="%6."/>
      <w:lvlJc w:val="right"/>
      <w:pPr>
        <w:ind w:left="3960" w:hanging="180"/>
      </w:pPr>
    </w:lvl>
    <w:lvl w:ilvl="6" w:tplc="7638A850" w:tentative="1">
      <w:start w:val="1"/>
      <w:numFmt w:val="decimal"/>
      <w:lvlText w:val="%7."/>
      <w:lvlJc w:val="left"/>
      <w:pPr>
        <w:ind w:left="4680" w:hanging="360"/>
      </w:pPr>
    </w:lvl>
    <w:lvl w:ilvl="7" w:tplc="78B2CBB8" w:tentative="1">
      <w:start w:val="1"/>
      <w:numFmt w:val="lowerLetter"/>
      <w:lvlText w:val="%8."/>
      <w:lvlJc w:val="left"/>
      <w:pPr>
        <w:ind w:left="5400" w:hanging="360"/>
      </w:pPr>
    </w:lvl>
    <w:lvl w:ilvl="8" w:tplc="F94C5F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B1A8E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D6CB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3A63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7A3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222F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FEB0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AEEC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E4C9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F038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1D8C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C57D3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0B16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0609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EB585A"/>
  <w15:docId w15:val="{6189F313-0EC3-4C8F-B73B-9C738D11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bs@candw.lc" TargetMode="External"/><Relationship Id="rId13" Type="http://schemas.openxmlformats.org/officeDocument/2006/relationships/hyperlink" Target="mailto:v.fontenelle@slbs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info@slbs.org" TargetMode="External"/><Relationship Id="rId12" Type="http://schemas.openxmlformats.org/officeDocument/2006/relationships/hyperlink" Target="mailto:info@slbs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bs@candw.l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19/TBT/LCA/19_5113_00_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lbs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v.fontenelle@slbs.org" TargetMode="External"/><Relationship Id="rId14" Type="http://schemas.openxmlformats.org/officeDocument/2006/relationships/hyperlink" Target="http://www.slbs.org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66</cp:revision>
  <dcterms:created xsi:type="dcterms:W3CDTF">2017-07-03T10:42:00Z</dcterms:created>
  <dcterms:modified xsi:type="dcterms:W3CDTF">2019-09-23T06:20:00Z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