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D50A2" w:rsidP="002F6A28">
      <w:pPr>
        <w:pStyle w:val="Titre"/>
        <w:rPr>
          <w:caps w:val="0"/>
          <w:kern w:val="0"/>
        </w:rPr>
      </w:pPr>
      <w:r w:rsidRPr="002F6A28">
        <w:rPr>
          <w:caps w:val="0"/>
          <w:kern w:val="0"/>
        </w:rPr>
        <w:t>NOTIFICATION</w:t>
      </w:r>
    </w:p>
    <w:p w:rsidR="009239F7" w:rsidRPr="002F6A28" w:rsidRDefault="007D50A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0AFD" w:rsidTr="0069259F">
        <w:tc>
          <w:tcPr>
            <w:tcW w:w="713" w:type="dxa"/>
            <w:tcBorders>
              <w:bottom w:val="single" w:sz="6" w:space="0" w:color="auto"/>
            </w:tcBorders>
            <w:shd w:val="clear" w:color="auto" w:fill="auto"/>
          </w:tcPr>
          <w:p w:rsidR="00F85C99" w:rsidRPr="002F6A28" w:rsidRDefault="007D50A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D50A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7D50A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D50A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Radio Research Agency (RRA)</w:t>
            </w:r>
            <w:bookmarkEnd w:id="5"/>
          </w:p>
          <w:p w:rsidR="00F85C99" w:rsidRPr="002F6A28" w:rsidRDefault="007D50A2" w:rsidP="00AA646C">
            <w:pPr>
              <w:spacing w:after="120"/>
            </w:pPr>
            <w:bookmarkStart w:id="6" w:name="X_TBT_Reg_2B"/>
            <w:r w:rsidRPr="002F6A28">
              <w:rPr>
                <w:b/>
              </w:rPr>
              <w:t>Name and address (including telephone a</w:t>
            </w:r>
            <w:bookmarkStart w:id="7" w:name="_GoBack"/>
            <w:bookmarkEnd w:id="7"/>
            <w:r w:rsidRPr="002F6A28">
              <w:rPr>
                <w:b/>
              </w:rPr>
              <w:t>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8" w:name="sps4a"/>
          </w:p>
          <w:p w:rsidR="00003F49" w:rsidRPr="002F6A28" w:rsidRDefault="007D50A2" w:rsidP="00AA646C">
            <w:pPr>
              <w:spacing w:after="120"/>
              <w:jc w:val="left"/>
            </w:pPr>
            <w:r w:rsidRPr="002F6A28">
              <w:t>Electromagnetic environment and safety Division</w:t>
            </w:r>
            <w:r w:rsidRPr="002F6A28">
              <w:br/>
              <w:t>Radio Research Agency</w:t>
            </w:r>
            <w:r w:rsidRPr="002F6A28">
              <w:br/>
              <w:t>767, bitgaram-ro, Naju-si, Jeollanam-do l</w:t>
            </w:r>
            <w:r w:rsidRPr="002F6A28">
              <w:br/>
              <w:t>Republic of Korea 58323</w:t>
            </w:r>
            <w:r w:rsidRPr="002F6A28">
              <w:br/>
              <w:t>Tel: (+82) 61 338 4513</w:t>
            </w:r>
            <w:r w:rsidRPr="002F6A28">
              <w:br/>
              <w:t>Fax: (+82) 61 338 4519</w:t>
            </w:r>
            <w:r w:rsidRPr="002F6A28">
              <w:br/>
              <w:t xml:space="preserve">E-mail: </w:t>
            </w:r>
            <w:hyperlink r:id="rId7" w:history="1">
              <w:r w:rsidRPr="002F6A28">
                <w:rPr>
                  <w:color w:val="0000FF"/>
                  <w:u w:val="single"/>
                </w:rPr>
                <w:t>bsmyeong@korea.kr</w:t>
              </w:r>
            </w:hyperlink>
            <w:r w:rsidRPr="002F6A28">
              <w:br/>
              <w:t xml:space="preserve">Homepage: </w:t>
            </w:r>
            <w:hyperlink r:id="rId8" w:history="1">
              <w:r w:rsidRPr="002F6A28">
                <w:rPr>
                  <w:color w:val="0000FF"/>
                  <w:u w:val="single"/>
                </w:rPr>
                <w:t>http://www.rra.go.kr</w:t>
              </w:r>
            </w:hyperlink>
            <w:bookmarkEnd w:id="8"/>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D50A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D50A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EMC (Electromagnetic Compatibility) Regulation</w:t>
            </w:r>
            <w:bookmarkStart w:id="21" w:name="sps3a"/>
            <w:bookmarkEnd w:id="21"/>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D50A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amendment of Technical Regulation for Electromagnetic Compatibility</w:t>
            </w:r>
            <w:bookmarkStart w:id="23" w:name="sps5a"/>
            <w:bookmarkStart w:id="24" w:name="sps5c"/>
            <w:bookmarkStart w:id="25" w:name="sps5b"/>
            <w:bookmarkEnd w:id="23"/>
            <w:bookmarkEnd w:id="24"/>
            <w:bookmarkEnd w:id="25"/>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7D50A2" w:rsidRDefault="007D50A2" w:rsidP="007D50A2">
            <w:pPr>
              <w:spacing w:before="120" w:after="120"/>
            </w:pPr>
            <w:bookmarkStart w:id="26" w:name="X_TBT_Reg_6A"/>
            <w:r w:rsidRPr="002F6A28">
              <w:rPr>
                <w:b/>
              </w:rPr>
              <w:t>Description of content</w:t>
            </w:r>
            <w:bookmarkEnd w:id="26"/>
            <w:r w:rsidRPr="002F6A28">
              <w:rPr>
                <w:b/>
              </w:rPr>
              <w:t>:</w:t>
            </w:r>
            <w:r w:rsidR="00FE448B" w:rsidRPr="00C379C8">
              <w:t xml:space="preserve"> </w:t>
            </w:r>
          </w:p>
          <w:p w:rsidR="007D50A2" w:rsidRDefault="00FE448B" w:rsidP="007D50A2">
            <w:pPr>
              <w:spacing w:before="120" w:after="120"/>
              <w:ind w:left="567" w:hanging="567"/>
            </w:pPr>
            <w:r w:rsidRPr="00C379C8">
              <w:t>1.</w:t>
            </w:r>
            <w:r w:rsidR="007D50A2">
              <w:tab/>
            </w:r>
            <w:r w:rsidRPr="00C379C8">
              <w:t>Adoption of international standards to alleviate EMI limits for electric railways in the frequency range 9 kHz to 150 kHz and establishment of EMS standards by supplementing the electromagnetic immunity (Article 10, Annex 7)</w:t>
            </w:r>
          </w:p>
          <w:p w:rsidR="007D50A2" w:rsidRDefault="00FE448B" w:rsidP="007D50A2">
            <w:pPr>
              <w:spacing w:before="120" w:after="120"/>
              <w:ind w:left="567"/>
            </w:pPr>
            <w:r w:rsidRPr="00C379C8">
              <w:t>-</w:t>
            </w:r>
            <w:r w:rsidR="007D50A2">
              <w:tab/>
            </w:r>
            <w:r w:rsidRPr="00C379C8">
              <w:t>Removal of EMI limits between frequency range 9 kHz to 150 kHz</w:t>
            </w:r>
          </w:p>
          <w:p w:rsidR="007D50A2" w:rsidRDefault="00FE448B" w:rsidP="007D50A2">
            <w:pPr>
              <w:spacing w:before="120" w:after="120"/>
              <w:ind w:left="1134" w:hanging="567"/>
            </w:pPr>
            <w:r w:rsidRPr="00C379C8">
              <w:t>-</w:t>
            </w:r>
            <w:r w:rsidR="007D50A2">
              <w:tab/>
            </w:r>
            <w:r w:rsidRPr="00C379C8">
              <w:t>Extension of measurement frequency range of radiated disturbance for enclosure ports of in-vehicle devices in electric railways</w:t>
            </w:r>
          </w:p>
          <w:p w:rsidR="007D50A2" w:rsidRDefault="00FE448B" w:rsidP="007D50A2">
            <w:pPr>
              <w:spacing w:before="120" w:after="120"/>
              <w:ind w:left="1134" w:hanging="567"/>
            </w:pPr>
            <w:r w:rsidRPr="00C379C8">
              <w:t>-</w:t>
            </w:r>
            <w:r w:rsidR="007D50A2">
              <w:tab/>
            </w:r>
            <w:r w:rsidRPr="00C379C8">
              <w:t>Extension of measurement frequency range of electromagnetic immunity of in-vehicle devices in electric railways</w:t>
            </w:r>
          </w:p>
          <w:p w:rsidR="00F85C99" w:rsidRPr="002F6A28" w:rsidRDefault="00FE448B" w:rsidP="007D50A2">
            <w:pPr>
              <w:spacing w:before="120" w:after="120"/>
              <w:ind w:left="1134" w:hanging="567"/>
              <w:rPr>
                <w:b/>
              </w:rPr>
            </w:pPr>
            <w:r w:rsidRPr="00C379C8">
              <w:t>-</w:t>
            </w:r>
            <w:r w:rsidR="007D50A2">
              <w:tab/>
            </w:r>
            <w:r w:rsidRPr="00C379C8">
              <w:t>Changes of performance criteria for electrical fast transient/burst test of fixed railway power equipment</w:t>
            </w:r>
          </w:p>
          <w:p w:rsidR="00FE448B" w:rsidRPr="00C379C8" w:rsidRDefault="007D50A2" w:rsidP="007D50A2">
            <w:pPr>
              <w:spacing w:after="120"/>
              <w:ind w:left="567" w:hanging="567"/>
            </w:pPr>
            <w:r w:rsidRPr="00C379C8">
              <w:t>2.</w:t>
            </w:r>
            <w:r>
              <w:tab/>
            </w:r>
            <w:r w:rsidRPr="00C379C8">
              <w:t>For successful avoidance of EMC problems due to the introduction of lighting equipment integrated with information and communication technology, adoption of international standards and establishment of EMI limits (Article 9, Annex 6)</w:t>
            </w:r>
          </w:p>
          <w:p w:rsidR="007D50A2" w:rsidRDefault="007D50A2" w:rsidP="007D50A2">
            <w:pPr>
              <w:spacing w:after="120"/>
              <w:ind w:left="1134" w:hanging="567"/>
            </w:pPr>
            <w:r w:rsidRPr="00C379C8">
              <w:lastRenderedPageBreak/>
              <w:t>-</w:t>
            </w:r>
            <w:r>
              <w:tab/>
            </w:r>
            <w:r w:rsidRPr="00C379C8">
              <w:t>Extension of measurement frequency range for radiated disturbance frequency range for enclosure port</w:t>
            </w:r>
          </w:p>
          <w:p w:rsidR="00FE448B" w:rsidRPr="00C379C8" w:rsidRDefault="007D50A2" w:rsidP="007D50A2">
            <w:pPr>
              <w:spacing w:after="120"/>
              <w:ind w:left="1134" w:hanging="567"/>
            </w:pPr>
            <w:r w:rsidRPr="00C379C8">
              <w:t>-</w:t>
            </w:r>
            <w:r>
              <w:tab/>
            </w:r>
            <w:r w:rsidRPr="00C379C8">
              <w:t>Establishment of EMI limits of loop antenna for lighting equipment exceeding 1.6</w:t>
            </w:r>
            <w:r>
              <w:t> </w:t>
            </w:r>
            <w:r w:rsidRPr="00C379C8">
              <w:t>m, the limit of extra-low voltage(ELV) lamp and current probe measurement, respectively.</w:t>
            </w:r>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D50A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Harmonization</w:t>
            </w:r>
            <w:bookmarkStart w:id="28" w:name="sps7f"/>
            <w:bookmarkEnd w:id="28"/>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D50A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003F49" w:rsidRPr="002F6A28" w:rsidRDefault="007D50A2" w:rsidP="009E75ED">
            <w:pPr>
              <w:numPr>
                <w:ilvl w:val="0"/>
                <w:numId w:val="16"/>
              </w:numPr>
              <w:spacing w:before="120" w:after="120"/>
              <w:jc w:val="left"/>
              <w:rPr>
                <w:bCs/>
              </w:rPr>
            </w:pPr>
            <w:r w:rsidRPr="002F6A28">
              <w:rPr>
                <w:bCs/>
              </w:rPr>
              <w:t>RRA Public Notice No. 2019-97 (28 August 2019)</w:t>
            </w:r>
          </w:p>
        </w:tc>
      </w:tr>
      <w:tr w:rsidR="004B0AFD" w:rsidTr="00AE6CC8">
        <w:trPr>
          <w:cantSplit/>
        </w:trPr>
        <w:tc>
          <w:tcPr>
            <w:tcW w:w="713" w:type="dxa"/>
            <w:tcBorders>
              <w:top w:val="single" w:sz="6" w:space="0" w:color="auto"/>
              <w:bottom w:val="single" w:sz="6" w:space="0" w:color="auto"/>
            </w:tcBorders>
            <w:shd w:val="clear" w:color="auto" w:fill="auto"/>
          </w:tcPr>
          <w:p w:rsidR="00EE3A11" w:rsidRPr="002F6A28" w:rsidRDefault="007D50A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D50A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7D50A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4B0AFD" w:rsidTr="0069259F">
        <w:tc>
          <w:tcPr>
            <w:tcW w:w="713" w:type="dxa"/>
            <w:tcBorders>
              <w:top w:val="single" w:sz="6" w:space="0" w:color="auto"/>
              <w:bottom w:val="single" w:sz="6" w:space="0" w:color="auto"/>
            </w:tcBorders>
            <w:shd w:val="clear" w:color="auto" w:fill="auto"/>
          </w:tcPr>
          <w:p w:rsidR="00F85C99" w:rsidRPr="002F6A28" w:rsidRDefault="007D50A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D50A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4B0AFD" w:rsidTr="0069259F">
        <w:tc>
          <w:tcPr>
            <w:tcW w:w="713" w:type="dxa"/>
            <w:tcBorders>
              <w:top w:val="single" w:sz="6" w:space="0" w:color="auto"/>
            </w:tcBorders>
            <w:shd w:val="clear" w:color="auto" w:fill="auto"/>
          </w:tcPr>
          <w:p w:rsidR="00F85C99" w:rsidRPr="002F6A28" w:rsidRDefault="007D50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D50A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7D50A2" w:rsidRDefault="007D50A2" w:rsidP="00B16145">
            <w:pPr>
              <w:keepNext/>
              <w:keepLines/>
              <w:spacing w:before="120" w:after="120"/>
              <w:jc w:val="left"/>
              <w:rPr>
                <w:color w:val="0000FF"/>
                <w:u w:val="single"/>
              </w:rPr>
            </w:pPr>
            <w:r w:rsidRPr="002F6A28">
              <w:t xml:space="preserve">WTO Technical Barriers to Trade (TBT) Division </w:t>
            </w:r>
            <w:r w:rsidRPr="002F6A28">
              <w:br/>
              <w:t xml:space="preserve">Korean Agency for Technology and Standards (KATS) </w:t>
            </w:r>
            <w:r w:rsidRPr="002F6A28">
              <w:br/>
              <w:t xml:space="preserve">93 Isu-ro, Maengdong-myeon, Eumseong-gun </w:t>
            </w:r>
            <w:r w:rsidRPr="002F6A28">
              <w:br/>
              <w:t xml:space="preserve">Chungcheongbuk-do </w:t>
            </w:r>
            <w:r w:rsidRPr="002F6A28">
              <w:br/>
              <w:t xml:space="preserve">Rep. of Korea 27737 </w:t>
            </w:r>
            <w:r w:rsidRPr="002F6A28">
              <w:br/>
              <w:t xml:space="preserve">Tel.: (+82) 43 870 5525 </w:t>
            </w:r>
            <w:r w:rsidRPr="002F6A28">
              <w:br/>
              <w:t xml:space="preserve">Fax: (+82) 43 870 5682 </w:t>
            </w:r>
            <w:r w:rsidRPr="002F6A28">
              <w:br/>
              <w:t xml:space="preserve">E-mail: </w:t>
            </w:r>
            <w:hyperlink r:id="rId9" w:history="1">
              <w:r w:rsidRPr="002F6A28">
                <w:rPr>
                  <w:color w:val="0000FF"/>
                  <w:u w:val="single"/>
                </w:rPr>
                <w:t>tbt@korea.kr</w:t>
              </w:r>
            </w:hyperlink>
            <w:r w:rsidRPr="002F6A28">
              <w:t xml:space="preserve"> </w:t>
            </w:r>
            <w:r w:rsidRPr="002F6A28">
              <w:br/>
              <w:t xml:space="preserve">Website: </w:t>
            </w:r>
            <w:hyperlink r:id="rId10" w:history="1">
              <w:r w:rsidRPr="002F6A28">
                <w:rPr>
                  <w:color w:val="0000FF"/>
                  <w:u w:val="single"/>
                </w:rPr>
                <w:t>http://www.knowtbt.kr</w:t>
              </w:r>
            </w:hyperlink>
          </w:p>
          <w:p w:rsidR="007D50A2" w:rsidRDefault="007D50A2" w:rsidP="00B16145">
            <w:pPr>
              <w:keepNext/>
              <w:keepLines/>
              <w:spacing w:before="120" w:after="120"/>
              <w:jc w:val="left"/>
            </w:pPr>
            <w:r w:rsidRPr="002F6A28">
              <w:t xml:space="preserve">Full texts are available on the Internet at URLs: </w:t>
            </w:r>
          </w:p>
          <w:p w:rsidR="00003F49" w:rsidRPr="002F6A28" w:rsidRDefault="007D50A2" w:rsidP="00B16145">
            <w:pPr>
              <w:keepNext/>
              <w:keepLines/>
              <w:spacing w:before="120" w:after="120"/>
              <w:jc w:val="left"/>
            </w:pPr>
            <w:hyperlink r:id="rId11" w:history="1">
              <w:r w:rsidRPr="002F6A28">
                <w:rPr>
                  <w:color w:val="0000FF"/>
                  <w:u w:val="single"/>
                </w:rPr>
                <w:t>http://www.rra.go.kr</w:t>
              </w:r>
            </w:hyperlink>
            <w:r w:rsidRPr="002F6A28">
              <w:t xml:space="preserve"> (available in Korean)</w:t>
            </w:r>
          </w:p>
          <w:p w:rsidR="00003F49" w:rsidRPr="002F6A28" w:rsidRDefault="00916663" w:rsidP="00B16145">
            <w:pPr>
              <w:keepNext/>
              <w:keepLines/>
              <w:spacing w:before="120" w:after="120"/>
            </w:pPr>
            <w:hyperlink r:id="rId12" w:history="1">
              <w:r w:rsidR="007D50A2" w:rsidRPr="002F6A28">
                <w:rPr>
                  <w:color w:val="0000FF"/>
                  <w:u w:val="single"/>
                </w:rPr>
                <w:t>https://members.wto.org/crnattachments/2019/TBT/KOR/19_5248_00_x.pdf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E6" w:rsidRDefault="007D50A2">
      <w:r>
        <w:separator/>
      </w:r>
    </w:p>
  </w:endnote>
  <w:endnote w:type="continuationSeparator" w:id="0">
    <w:p w:rsidR="00A654E6" w:rsidRDefault="007D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0A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0A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D50A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E6" w:rsidRDefault="007D50A2">
      <w:r>
        <w:separator/>
      </w:r>
    </w:p>
  </w:footnote>
  <w:footnote w:type="continuationSeparator" w:id="0">
    <w:p w:rsidR="00A654E6" w:rsidRDefault="007D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0A2"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D50A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0A2" w:rsidP="009239F7">
    <w:pPr>
      <w:pStyle w:val="En-tte"/>
      <w:pBdr>
        <w:bottom w:val="single" w:sz="4" w:space="1" w:color="auto"/>
      </w:pBdr>
      <w:tabs>
        <w:tab w:val="clear" w:pos="4513"/>
        <w:tab w:val="clear" w:pos="9027"/>
      </w:tabs>
      <w:jc w:val="center"/>
    </w:pPr>
    <w:bookmarkStart w:id="42" w:name="spsSymbolHeader"/>
    <w:r w:rsidRPr="002F6A28">
      <w:t>G/TBT/N/KOR/858</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D50A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0AF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4B0AFD" w:rsidTr="008612A9">
      <w:trPr>
        <w:trHeight w:val="213"/>
        <w:jc w:val="center"/>
      </w:trPr>
      <w:tc>
        <w:tcPr>
          <w:tcW w:w="3794" w:type="dxa"/>
          <w:vMerge w:val="restart"/>
          <w:shd w:val="clear" w:color="auto" w:fill="FFFFFF"/>
          <w:tcMar>
            <w:left w:w="0" w:type="dxa"/>
            <w:right w:w="0" w:type="dxa"/>
          </w:tcMar>
        </w:tcPr>
        <w:p w:rsidR="00ED54E0" w:rsidRPr="009239F7" w:rsidRDefault="007D50A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0441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B0AF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D50A2" w:rsidP="00B801E9">
          <w:pPr>
            <w:jc w:val="right"/>
            <w:rPr>
              <w:b/>
              <w:szCs w:val="16"/>
            </w:rPr>
          </w:pPr>
          <w:bookmarkStart w:id="44" w:name="bmkSymbols"/>
          <w:r w:rsidRPr="002F6A28">
            <w:rPr>
              <w:b/>
              <w:szCs w:val="16"/>
            </w:rPr>
            <w:t>G/TBT/N/KOR/858</w:t>
          </w:r>
          <w:bookmarkEnd w:id="44"/>
        </w:p>
      </w:tc>
    </w:tr>
    <w:tr w:rsidR="004B0AF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D50A2" w:rsidP="00B801E9">
          <w:pPr>
            <w:jc w:val="right"/>
            <w:rPr>
              <w:szCs w:val="16"/>
            </w:rPr>
          </w:pPr>
          <w:bookmarkStart w:id="45" w:name="spsDateDistribution"/>
          <w:bookmarkStart w:id="46" w:name="bmkDate"/>
          <w:bookmarkEnd w:id="45"/>
          <w:bookmarkEnd w:id="46"/>
          <w:r>
            <w:rPr>
              <w:szCs w:val="16"/>
            </w:rPr>
            <w:t>24 September 2019</w:t>
          </w:r>
        </w:p>
      </w:tc>
    </w:tr>
    <w:tr w:rsidR="004B0AF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D50A2"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916663">
            <w:rPr>
              <w:color w:val="FF0000"/>
              <w:szCs w:val="16"/>
            </w:rPr>
            <w:t>6139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7D50A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B0AF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D50A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D50A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54640C">
      <w:start w:val="1"/>
      <w:numFmt w:val="decimal"/>
      <w:pStyle w:val="SummaryText"/>
      <w:lvlText w:val="%1."/>
      <w:lvlJc w:val="left"/>
      <w:pPr>
        <w:ind w:left="360" w:hanging="360"/>
      </w:pPr>
    </w:lvl>
    <w:lvl w:ilvl="1" w:tplc="AC629856" w:tentative="1">
      <w:start w:val="1"/>
      <w:numFmt w:val="lowerLetter"/>
      <w:lvlText w:val="%2."/>
      <w:lvlJc w:val="left"/>
      <w:pPr>
        <w:ind w:left="1080" w:hanging="360"/>
      </w:pPr>
    </w:lvl>
    <w:lvl w:ilvl="2" w:tplc="8BD299B8" w:tentative="1">
      <w:start w:val="1"/>
      <w:numFmt w:val="lowerRoman"/>
      <w:lvlText w:val="%3."/>
      <w:lvlJc w:val="right"/>
      <w:pPr>
        <w:ind w:left="1800" w:hanging="180"/>
      </w:pPr>
    </w:lvl>
    <w:lvl w:ilvl="3" w:tplc="95A20DE2" w:tentative="1">
      <w:start w:val="1"/>
      <w:numFmt w:val="decimal"/>
      <w:lvlText w:val="%4."/>
      <w:lvlJc w:val="left"/>
      <w:pPr>
        <w:ind w:left="2520" w:hanging="360"/>
      </w:pPr>
    </w:lvl>
    <w:lvl w:ilvl="4" w:tplc="F954CA92" w:tentative="1">
      <w:start w:val="1"/>
      <w:numFmt w:val="lowerLetter"/>
      <w:lvlText w:val="%5."/>
      <w:lvlJc w:val="left"/>
      <w:pPr>
        <w:ind w:left="3240" w:hanging="360"/>
      </w:pPr>
    </w:lvl>
    <w:lvl w:ilvl="5" w:tplc="D7EAB15E" w:tentative="1">
      <w:start w:val="1"/>
      <w:numFmt w:val="lowerRoman"/>
      <w:lvlText w:val="%6."/>
      <w:lvlJc w:val="right"/>
      <w:pPr>
        <w:ind w:left="3960" w:hanging="180"/>
      </w:pPr>
    </w:lvl>
    <w:lvl w:ilvl="6" w:tplc="0EAE68CE" w:tentative="1">
      <w:start w:val="1"/>
      <w:numFmt w:val="decimal"/>
      <w:lvlText w:val="%7."/>
      <w:lvlJc w:val="left"/>
      <w:pPr>
        <w:ind w:left="4680" w:hanging="360"/>
      </w:pPr>
    </w:lvl>
    <w:lvl w:ilvl="7" w:tplc="0082F2C8" w:tentative="1">
      <w:start w:val="1"/>
      <w:numFmt w:val="lowerLetter"/>
      <w:lvlText w:val="%8."/>
      <w:lvlJc w:val="left"/>
      <w:pPr>
        <w:ind w:left="5400" w:hanging="360"/>
      </w:pPr>
    </w:lvl>
    <w:lvl w:ilvl="8" w:tplc="AD1A2F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A02F0E6">
      <w:start w:val="1"/>
      <w:numFmt w:val="bullet"/>
      <w:lvlText w:val=""/>
      <w:lvlJc w:val="left"/>
      <w:pPr>
        <w:ind w:left="720" w:hanging="360"/>
      </w:pPr>
      <w:rPr>
        <w:rFonts w:ascii="Symbol" w:hAnsi="Symbol"/>
      </w:rPr>
    </w:lvl>
    <w:lvl w:ilvl="1" w:tplc="682AA226">
      <w:start w:val="1"/>
      <w:numFmt w:val="bullet"/>
      <w:lvlText w:val="o"/>
      <w:lvlJc w:val="left"/>
      <w:pPr>
        <w:tabs>
          <w:tab w:val="num" w:pos="1440"/>
        </w:tabs>
        <w:ind w:left="1440" w:hanging="360"/>
      </w:pPr>
      <w:rPr>
        <w:rFonts w:ascii="Courier New" w:hAnsi="Courier New"/>
      </w:rPr>
    </w:lvl>
    <w:lvl w:ilvl="2" w:tplc="1400935C">
      <w:start w:val="1"/>
      <w:numFmt w:val="bullet"/>
      <w:lvlText w:val=""/>
      <w:lvlJc w:val="left"/>
      <w:pPr>
        <w:tabs>
          <w:tab w:val="num" w:pos="2160"/>
        </w:tabs>
        <w:ind w:left="2160" w:hanging="360"/>
      </w:pPr>
      <w:rPr>
        <w:rFonts w:ascii="Wingdings" w:hAnsi="Wingdings"/>
      </w:rPr>
    </w:lvl>
    <w:lvl w:ilvl="3" w:tplc="D2C0A874">
      <w:start w:val="1"/>
      <w:numFmt w:val="bullet"/>
      <w:lvlText w:val=""/>
      <w:lvlJc w:val="left"/>
      <w:pPr>
        <w:tabs>
          <w:tab w:val="num" w:pos="2880"/>
        </w:tabs>
        <w:ind w:left="2880" w:hanging="360"/>
      </w:pPr>
      <w:rPr>
        <w:rFonts w:ascii="Symbol" w:hAnsi="Symbol"/>
      </w:rPr>
    </w:lvl>
    <w:lvl w:ilvl="4" w:tplc="F14C739E">
      <w:start w:val="1"/>
      <w:numFmt w:val="bullet"/>
      <w:lvlText w:val="o"/>
      <w:lvlJc w:val="left"/>
      <w:pPr>
        <w:tabs>
          <w:tab w:val="num" w:pos="3600"/>
        </w:tabs>
        <w:ind w:left="3600" w:hanging="360"/>
      </w:pPr>
      <w:rPr>
        <w:rFonts w:ascii="Courier New" w:hAnsi="Courier New"/>
      </w:rPr>
    </w:lvl>
    <w:lvl w:ilvl="5" w:tplc="0EB8FE74">
      <w:start w:val="1"/>
      <w:numFmt w:val="bullet"/>
      <w:lvlText w:val=""/>
      <w:lvlJc w:val="left"/>
      <w:pPr>
        <w:tabs>
          <w:tab w:val="num" w:pos="4320"/>
        </w:tabs>
        <w:ind w:left="4320" w:hanging="360"/>
      </w:pPr>
      <w:rPr>
        <w:rFonts w:ascii="Wingdings" w:hAnsi="Wingdings"/>
      </w:rPr>
    </w:lvl>
    <w:lvl w:ilvl="6" w:tplc="3190CB24">
      <w:start w:val="1"/>
      <w:numFmt w:val="bullet"/>
      <w:lvlText w:val=""/>
      <w:lvlJc w:val="left"/>
      <w:pPr>
        <w:tabs>
          <w:tab w:val="num" w:pos="5040"/>
        </w:tabs>
        <w:ind w:left="5040" w:hanging="360"/>
      </w:pPr>
      <w:rPr>
        <w:rFonts w:ascii="Symbol" w:hAnsi="Symbol"/>
      </w:rPr>
    </w:lvl>
    <w:lvl w:ilvl="7" w:tplc="DD50E390">
      <w:start w:val="1"/>
      <w:numFmt w:val="bullet"/>
      <w:lvlText w:val="o"/>
      <w:lvlJc w:val="left"/>
      <w:pPr>
        <w:tabs>
          <w:tab w:val="num" w:pos="5760"/>
        </w:tabs>
        <w:ind w:left="5760" w:hanging="360"/>
      </w:pPr>
      <w:rPr>
        <w:rFonts w:ascii="Courier New" w:hAnsi="Courier New"/>
      </w:rPr>
    </w:lvl>
    <w:lvl w:ilvl="8" w:tplc="BAA6223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3F49"/>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4B75"/>
    <w:rsid w:val="0041584A"/>
    <w:rsid w:val="004423A4"/>
    <w:rsid w:val="00467032"/>
    <w:rsid w:val="0046754A"/>
    <w:rsid w:val="0048173D"/>
    <w:rsid w:val="004A23F8"/>
    <w:rsid w:val="004B0AFD"/>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50A2"/>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6663"/>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654E6"/>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236A"/>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B657"/>
  <w15:docId w15:val="{DB904735-3B63-438E-ADE7-7DEDB39D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ra.go.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smyeong@korea.kr" TargetMode="External"/><Relationship Id="rId12" Type="http://schemas.openxmlformats.org/officeDocument/2006/relationships/hyperlink" Target="https://members.wto.org/crnattachments/2019/TBT/KOR/19_5248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ra.go.k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nowtbt.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2019-09-24T10:16:00Z</dcterms:created>
  <dcterms:modified xsi:type="dcterms:W3CDTF">2019-09-24T12:01:00Z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