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70103B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70103B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085622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Argentina</w:t>
            </w:r>
            <w:bookmarkEnd w:id="1"/>
          </w:p>
          <w:p w:rsidR="00A52F73" w:rsidRPr="003A3E55" w:rsidRDefault="0070103B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08562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SECRETARIA DE COMERCIO INTERIOR</w:t>
            </w:r>
            <w:bookmarkEnd w:id="5"/>
          </w:p>
          <w:p w:rsidR="00A52F73" w:rsidRPr="003A3E55" w:rsidRDefault="0070103B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E15DB0" w:rsidRPr="003A3E55" w:rsidRDefault="0070103B" w:rsidP="008849EF">
            <w:pPr>
              <w:spacing w:after="120"/>
            </w:pPr>
            <w:r w:rsidRPr="003A3E55">
              <w:t>Idem11.</w:t>
            </w:r>
            <w:bookmarkEnd w:id="7"/>
          </w:p>
        </w:tc>
      </w:tr>
      <w:tr w:rsidR="0008562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X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08562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Maquinaria agrícola; Máquinas, aparatos y artefactos agrícolas, hortícolas o silvícolas, para la preparación o el trabajo del suelo o para el cultivo; rodillos para césped o terrenos de deporte (HS 8432); Máquinas de ordeñar y máquinas y aparatos para la industria lechera (HS 8434)</w:t>
            </w:r>
            <w:bookmarkStart w:id="20" w:name="sps3a"/>
            <w:bookmarkEnd w:id="20"/>
          </w:p>
        </w:tc>
      </w:tr>
      <w:tr w:rsidR="0008562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Resolución que establece los requisitos técnicos de calidad y seguridad que debe cumplir maquinaria agrícola (8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8562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Los fabricantes nacionales e importadores de las máquinas autopropulsadas con puesto de conducción, máquinas montadas, semimontadas y de tracción libre utilizadas en agricultura, deberán garantizar el cumplimiento de los requisitos técnicos establecidos previstos en la medida, mediante la confección de una declaración jurada, de conformidad a lo dispuesto en la misma.</w:t>
            </w:r>
          </w:p>
        </w:tc>
      </w:tr>
      <w:tr w:rsidR="0008562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Protección de la salud o seguridad humanas</w:t>
            </w:r>
            <w:bookmarkStart w:id="27" w:name="sps7f"/>
            <w:bookmarkEnd w:id="27"/>
          </w:p>
        </w:tc>
      </w:tr>
      <w:tr w:rsidR="0008562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70103B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E15DB0" w:rsidRPr="003A3E55" w:rsidRDefault="00785820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hyperlink r:id="rId7" w:history="1">
              <w:r w:rsidR="0070103B" w:rsidRPr="003A3E55">
                <w:rPr>
                  <w:color w:val="0000FF"/>
                  <w:u w:val="single"/>
                </w:rPr>
                <w:t>Decreto N° 617/1997</w:t>
              </w:r>
            </w:hyperlink>
            <w:r w:rsidR="0070103B" w:rsidRPr="003A3E55">
              <w:t xml:space="preserve"> y </w:t>
            </w:r>
            <w:hyperlink r:id="rId8" w:history="1">
              <w:r w:rsidR="0070103B" w:rsidRPr="003A3E55">
                <w:rPr>
                  <w:color w:val="0000FF"/>
                  <w:u w:val="single"/>
                </w:rPr>
                <w:t>Decreto N° 274/2019</w:t>
              </w:r>
            </w:hyperlink>
          </w:p>
        </w:tc>
      </w:tr>
      <w:tr w:rsidR="00085622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7010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70103B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No se indica</w:t>
            </w:r>
            <w:bookmarkEnd w:id="31"/>
          </w:p>
          <w:p w:rsidR="00AF251E" w:rsidRPr="003A3E55" w:rsidRDefault="0070103B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No se indica</w:t>
            </w:r>
            <w:bookmarkEnd w:id="34"/>
          </w:p>
        </w:tc>
      </w:tr>
      <w:tr w:rsidR="0008562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70103B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085622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70103B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70103B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70103B" w:rsidRDefault="0070103B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Punto Focal de la Republica Argentina</w:t>
            </w:r>
            <w:r w:rsidRPr="003A3E55">
              <w:rPr>
                <w:bCs/>
              </w:rPr>
              <w:br/>
              <w:t>Subsecretaría de Políticas de Mercado Interno</w:t>
            </w:r>
            <w:r w:rsidRPr="003A3E55">
              <w:rPr>
                <w:bCs/>
              </w:rPr>
              <w:br/>
              <w:t>Avda. Julio A. Roca 651 Piso 4° Sector 23A (C1067ABB)</w:t>
            </w:r>
            <w:r w:rsidRPr="003A3E55">
              <w:rPr>
                <w:bCs/>
              </w:rPr>
              <w:br/>
              <w:t>Ciudad Autónoma de Buenos Aires</w:t>
            </w:r>
            <w:r w:rsidRPr="003A3E55">
              <w:rPr>
                <w:bCs/>
              </w:rPr>
              <w:br/>
              <w:t xml:space="preserve">E-mail: </w:t>
            </w:r>
            <w:hyperlink r:id="rId9" w:history="1">
              <w:r w:rsidRPr="003A3E55">
                <w:rPr>
                  <w:bCs/>
                  <w:color w:val="0000FF"/>
                  <w:u w:val="single"/>
                </w:rPr>
                <w:t>focalotc@produccion.gob.ar</w:t>
              </w:r>
            </w:hyperlink>
            <w:r w:rsidRPr="003A3E55">
              <w:rPr>
                <w:bCs/>
              </w:rPr>
              <w:t xml:space="preserve"> </w:t>
            </w:r>
            <w:r w:rsidRPr="003A3E55">
              <w:rPr>
                <w:bCs/>
              </w:rPr>
              <w:br/>
              <w:t xml:space="preserve">Sitio Web: </w:t>
            </w:r>
            <w:hyperlink r:id="rId10" w:history="1">
              <w:r w:rsidRPr="003A3E55">
                <w:rPr>
                  <w:bCs/>
                  <w:color w:val="0000FF"/>
                  <w:u w:val="single"/>
                </w:rPr>
                <w:t>http://www.puntofocal.gob.ar/</w:t>
              </w:r>
            </w:hyperlink>
            <w:r w:rsidRPr="003A3E55">
              <w:rPr>
                <w:bCs/>
              </w:rPr>
              <w:t xml:space="preserve"> </w:t>
            </w:r>
          </w:p>
          <w:p w:rsidR="00E15DB0" w:rsidRPr="003A3E55" w:rsidRDefault="0070103B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Texto disponible: </w:t>
            </w:r>
            <w:r w:rsidRPr="003A3E55">
              <w:rPr>
                <w:bCs/>
              </w:rPr>
              <w:br/>
            </w:r>
            <w:hyperlink r:id="rId11" w:history="1">
              <w:r w:rsidRPr="003A3E55">
                <w:rPr>
                  <w:bCs/>
                  <w:color w:val="0000FF"/>
                  <w:u w:val="single"/>
                </w:rPr>
                <w:t>http://www.puntofocal.gov.ar/formularios/notific_arg.php</w:t>
              </w:r>
            </w:hyperlink>
            <w:r w:rsidRPr="003A3E55">
              <w:rPr>
                <w:bCs/>
              </w:rPr>
              <w:br/>
            </w:r>
            <w:hyperlink r:id="rId12" w:history="1">
              <w:r w:rsidRPr="003A3E55">
                <w:rPr>
                  <w:bCs/>
                  <w:color w:val="0000FF"/>
                  <w:u w:val="single"/>
                </w:rPr>
                <w:t>http://www.puntofocal.gob.ar/</w:t>
              </w:r>
            </w:hyperlink>
          </w:p>
          <w:p w:rsidR="00E15DB0" w:rsidRPr="003A3E55" w:rsidRDefault="00785820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13" w:history="1">
              <w:r w:rsidR="0070103B" w:rsidRPr="003A3E55">
                <w:rPr>
                  <w:bCs/>
                  <w:color w:val="0000FF"/>
                  <w:u w:val="single"/>
                </w:rPr>
                <w:t>https://members.wto.org/crnattachments/2019/TBT/ARG/19_5241_00_s.pdf</w:t>
              </w:r>
            </w:hyperlink>
            <w:bookmarkEnd w:id="39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8B8" w:rsidRDefault="0070103B">
      <w:r>
        <w:separator/>
      </w:r>
    </w:p>
  </w:endnote>
  <w:endnote w:type="continuationSeparator" w:id="0">
    <w:p w:rsidR="00F108B8" w:rsidRDefault="0070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70103B" w:rsidP="00B531D9">
    <w:pPr>
      <w:pStyle w:val="Pieddepage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70103B" w:rsidP="00B531D9">
    <w:pPr>
      <w:pStyle w:val="Pieddepage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70103B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8B8" w:rsidRDefault="0070103B">
      <w:r>
        <w:separator/>
      </w:r>
    </w:p>
  </w:footnote>
  <w:footnote w:type="continuationSeparator" w:id="0">
    <w:p w:rsidR="00F108B8" w:rsidRDefault="0070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70103B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70103B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70103B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G/TBT/N/ARG/375</w:t>
    </w:r>
    <w:bookmarkEnd w:id="40"/>
  </w:p>
  <w:p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70103B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85622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085622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70103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82537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085622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70103B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G/TBT/N/ARG/375</w:t>
          </w:r>
          <w:bookmarkEnd w:id="42"/>
        </w:p>
      </w:tc>
    </w:tr>
    <w:tr w:rsidR="00085622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70103B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24 de septiembre de 2019</w:t>
          </w:r>
        </w:p>
      </w:tc>
    </w:tr>
    <w:tr w:rsidR="00085622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70103B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19-</w:t>
          </w:r>
          <w:r w:rsidR="00785820">
            <w:rPr>
              <w:color w:val="FF0000"/>
              <w:szCs w:val="18"/>
            </w:rPr>
            <w:t>6129</w:t>
          </w:r>
          <w:bookmarkStart w:id="47" w:name="_GoBack"/>
          <w:bookmarkEnd w:id="47"/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70103B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085622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70103B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70103B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54602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0A8BBA" w:tentative="1">
      <w:start w:val="1"/>
      <w:numFmt w:val="lowerLetter"/>
      <w:lvlText w:val="%2."/>
      <w:lvlJc w:val="left"/>
      <w:pPr>
        <w:ind w:left="1080" w:hanging="360"/>
      </w:pPr>
    </w:lvl>
    <w:lvl w:ilvl="2" w:tplc="D2B873D8" w:tentative="1">
      <w:start w:val="1"/>
      <w:numFmt w:val="lowerRoman"/>
      <w:lvlText w:val="%3."/>
      <w:lvlJc w:val="right"/>
      <w:pPr>
        <w:ind w:left="1800" w:hanging="180"/>
      </w:pPr>
    </w:lvl>
    <w:lvl w:ilvl="3" w:tplc="9BB62372" w:tentative="1">
      <w:start w:val="1"/>
      <w:numFmt w:val="decimal"/>
      <w:lvlText w:val="%4."/>
      <w:lvlJc w:val="left"/>
      <w:pPr>
        <w:ind w:left="2520" w:hanging="360"/>
      </w:pPr>
    </w:lvl>
    <w:lvl w:ilvl="4" w:tplc="1BF4C5B8" w:tentative="1">
      <w:start w:val="1"/>
      <w:numFmt w:val="lowerLetter"/>
      <w:lvlText w:val="%5."/>
      <w:lvlJc w:val="left"/>
      <w:pPr>
        <w:ind w:left="3240" w:hanging="360"/>
      </w:pPr>
    </w:lvl>
    <w:lvl w:ilvl="5" w:tplc="D236102C" w:tentative="1">
      <w:start w:val="1"/>
      <w:numFmt w:val="lowerRoman"/>
      <w:lvlText w:val="%6."/>
      <w:lvlJc w:val="right"/>
      <w:pPr>
        <w:ind w:left="3960" w:hanging="180"/>
      </w:pPr>
    </w:lvl>
    <w:lvl w:ilvl="6" w:tplc="C8C23DD6" w:tentative="1">
      <w:start w:val="1"/>
      <w:numFmt w:val="decimal"/>
      <w:lvlText w:val="%7."/>
      <w:lvlJc w:val="left"/>
      <w:pPr>
        <w:ind w:left="4680" w:hanging="360"/>
      </w:pPr>
    </w:lvl>
    <w:lvl w:ilvl="7" w:tplc="B3149CA6" w:tentative="1">
      <w:start w:val="1"/>
      <w:numFmt w:val="lowerLetter"/>
      <w:lvlText w:val="%8."/>
      <w:lvlJc w:val="left"/>
      <w:pPr>
        <w:ind w:left="5400" w:hanging="360"/>
      </w:pPr>
    </w:lvl>
    <w:lvl w:ilvl="8" w:tplc="3BE419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E6639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B4D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A48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8CED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076C2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3C5E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16EE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12C6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1020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85622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46514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0103B"/>
    <w:rsid w:val="00727F5B"/>
    <w:rsid w:val="00735ADA"/>
    <w:rsid w:val="007461AF"/>
    <w:rsid w:val="00772DBD"/>
    <w:rsid w:val="00785820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15DB0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08B8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A47E1"/>
  <w15:docId w15:val="{8CFCE9D7-47AA-43ED-A2D3-8E9382E5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320000-324999/322236/norma.htm" TargetMode="External"/><Relationship Id="rId13" Type="http://schemas.openxmlformats.org/officeDocument/2006/relationships/hyperlink" Target="https://members.wto.org/crnattachments/2019/TBT/ARG/19_5241_00_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ervicios.infoleg.gob.ar/infolegInternet/anexos/40000-44999/44408/texact.htm" TargetMode="External"/><Relationship Id="rId12" Type="http://schemas.openxmlformats.org/officeDocument/2006/relationships/hyperlink" Target="http://www.puntofocal.gob.ar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ofocal.gov.ar/formularios/notific_arg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untofocal.gob.ar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ocalotc@produccion.gob.ar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5</cp:revision>
  <dcterms:created xsi:type="dcterms:W3CDTF">2019-09-24T08:16:00Z</dcterms:created>
  <dcterms:modified xsi:type="dcterms:W3CDTF">2019-09-24T08:38:00Z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