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76DE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76DE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8600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376DE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:rsidR="00F85C99" w:rsidRPr="002F6A28" w:rsidRDefault="00376DE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</w:t>
            </w:r>
            <w:bookmarkStart w:id="7" w:name="_GoBack"/>
            <w:bookmarkEnd w:id="7"/>
            <w:r w:rsidRPr="002F6A28">
              <w:rPr>
                <w:b/>
              </w:rPr>
              <w:t>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90E6F" w:rsidRPr="002F6A28" w:rsidRDefault="00376DEC" w:rsidP="00AA646C">
            <w:pPr>
              <w:spacing w:after="120"/>
              <w:jc w:val="left"/>
            </w:pPr>
            <w:r w:rsidRPr="002F6A28">
              <w:t>Consumer and Children's Product Safety Division</w:t>
            </w:r>
            <w:r w:rsidRPr="002F6A28">
              <w:br/>
              <w:t>Bureau of Product Safety Policy</w:t>
            </w:r>
            <w:r w:rsidRPr="002F6A28">
              <w:br/>
              <w:t xml:space="preserve">Korean </w:t>
            </w:r>
            <w:r w:rsidRPr="002F6A28">
              <w:t>Agency for Technology and Standards</w:t>
            </w:r>
            <w:r w:rsidRPr="002F6A28">
              <w:br/>
              <w:t xml:space="preserve">93, Isu-ro, Maengdong-myeon, Eumseong-gun, 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>Tel.: (+82) 43 870 5574</w:t>
            </w:r>
            <w:r w:rsidRPr="002F6A28">
              <w:br/>
              <w:t>Fax: (+82) 43 870 5677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consumer1@korea.kr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8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76DE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</w:t>
            </w:r>
            <w:r w:rsidRPr="002F6A28">
              <w:rPr>
                <w:b/>
              </w:rPr>
              <w:t>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Primary batteries (This safety criteria applies to primary batteries of manganese and alkaline manganese, except for military use)</w:t>
            </w:r>
            <w:bookmarkStart w:id="21" w:name="sps3a"/>
            <w:bookmarkEnd w:id="21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 draft revision of safety criteria for primary batteries (8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Button type primary batteries have been included in safety criteria of primary batteries.</w:t>
            </w:r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safety</w:t>
            </w:r>
            <w:r>
              <w:t xml:space="preserve"> </w:t>
            </w:r>
            <w:r w:rsidR="00EE3A11" w:rsidRPr="00C379C8">
              <w:t>(Article 2 and Article 15 of the Electrical Appliances and Consumer Products Safety Control Act)</w:t>
            </w:r>
            <w:bookmarkStart w:id="28" w:name="sps7f"/>
            <w:bookmarkEnd w:id="28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76DE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90E6F" w:rsidRPr="002F6A28" w:rsidRDefault="00376D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KATS  Public Notice No. 2019-0212 (18 July 2019)</w:t>
            </w:r>
          </w:p>
        </w:tc>
      </w:tr>
      <w:tr w:rsidR="00B8600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76D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76DE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November 2019 or later</w:t>
            </w:r>
            <w:bookmarkEnd w:id="32"/>
          </w:p>
          <w:p w:rsidR="00EE3A11" w:rsidRPr="002F6A28" w:rsidRDefault="00376DE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May 2020 or later</w:t>
            </w:r>
            <w:bookmarkEnd w:id="35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76DE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date of notification</w:t>
            </w:r>
            <w:bookmarkStart w:id="37" w:name="sps12a"/>
            <w:bookmarkEnd w:id="37"/>
          </w:p>
        </w:tc>
      </w:tr>
      <w:tr w:rsidR="00B8600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76DE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76DE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C90E6F" w:rsidRPr="002F6A28" w:rsidRDefault="00376DEC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 (TBT) Division</w:t>
            </w:r>
            <w:r w:rsidRPr="002F6A28">
              <w:br/>
            </w:r>
            <w:r w:rsidRPr="002F6A28">
              <w:t>Korean Agency for Technology and Standards (KATS)</w:t>
            </w:r>
            <w:r w:rsidRPr="002F6A28">
              <w:br/>
              <w:t xml:space="preserve">93, Isu-ro, Maengdong-myeon, Eumseong-gun, 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>Tel.: (+82) 43 870 5525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C90E6F" w:rsidRPr="002F6A28" w:rsidRDefault="00376DEC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https://members.wto.org/crnattachments/2019/TBT/KOR/19_4112_00_x.pdf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6DEC">
      <w:r>
        <w:separator/>
      </w:r>
    </w:p>
  </w:endnote>
  <w:endnote w:type="continuationSeparator" w:id="0">
    <w:p w:rsidR="00000000" w:rsidRDefault="003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6DE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6DE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76DE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6DEC">
      <w:r>
        <w:separator/>
      </w:r>
    </w:p>
  </w:footnote>
  <w:footnote w:type="continuationSeparator" w:id="0">
    <w:p w:rsidR="00000000" w:rsidRDefault="0037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6DE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76DE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76DE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G/TBT/N/KOR/848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76DE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600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8600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76DE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4695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8600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376DE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G/TBT/N/KOR/848</w:t>
          </w:r>
          <w:bookmarkEnd w:id="44"/>
        </w:p>
      </w:tc>
    </w:tr>
    <w:tr w:rsidR="00B8600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76DE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July 2019</w:t>
          </w:r>
        </w:p>
      </w:tc>
    </w:tr>
    <w:tr w:rsidR="00B8600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76DE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19-4895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76DE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8600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76DE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76DE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0851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CEC6EC" w:tentative="1">
      <w:start w:val="1"/>
      <w:numFmt w:val="lowerLetter"/>
      <w:lvlText w:val="%2."/>
      <w:lvlJc w:val="left"/>
      <w:pPr>
        <w:ind w:left="1080" w:hanging="360"/>
      </w:pPr>
    </w:lvl>
    <w:lvl w:ilvl="2" w:tplc="EB248388" w:tentative="1">
      <w:start w:val="1"/>
      <w:numFmt w:val="lowerRoman"/>
      <w:lvlText w:val="%3."/>
      <w:lvlJc w:val="right"/>
      <w:pPr>
        <w:ind w:left="1800" w:hanging="180"/>
      </w:pPr>
    </w:lvl>
    <w:lvl w:ilvl="3" w:tplc="81866C92" w:tentative="1">
      <w:start w:val="1"/>
      <w:numFmt w:val="decimal"/>
      <w:lvlText w:val="%4."/>
      <w:lvlJc w:val="left"/>
      <w:pPr>
        <w:ind w:left="2520" w:hanging="360"/>
      </w:pPr>
    </w:lvl>
    <w:lvl w:ilvl="4" w:tplc="842CFB50" w:tentative="1">
      <w:start w:val="1"/>
      <w:numFmt w:val="lowerLetter"/>
      <w:lvlText w:val="%5."/>
      <w:lvlJc w:val="left"/>
      <w:pPr>
        <w:ind w:left="3240" w:hanging="360"/>
      </w:pPr>
    </w:lvl>
    <w:lvl w:ilvl="5" w:tplc="E6CA5D00" w:tentative="1">
      <w:start w:val="1"/>
      <w:numFmt w:val="lowerRoman"/>
      <w:lvlText w:val="%6."/>
      <w:lvlJc w:val="right"/>
      <w:pPr>
        <w:ind w:left="3960" w:hanging="180"/>
      </w:pPr>
    </w:lvl>
    <w:lvl w:ilvl="6" w:tplc="37B699B8" w:tentative="1">
      <w:start w:val="1"/>
      <w:numFmt w:val="decimal"/>
      <w:lvlText w:val="%7."/>
      <w:lvlJc w:val="left"/>
      <w:pPr>
        <w:ind w:left="4680" w:hanging="360"/>
      </w:pPr>
    </w:lvl>
    <w:lvl w:ilvl="7" w:tplc="995E4D18" w:tentative="1">
      <w:start w:val="1"/>
      <w:numFmt w:val="lowerLetter"/>
      <w:lvlText w:val="%8."/>
      <w:lvlJc w:val="left"/>
      <w:pPr>
        <w:ind w:left="5400" w:hanging="360"/>
      </w:pPr>
    </w:lvl>
    <w:lvl w:ilvl="8" w:tplc="EF701B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5E800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868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FE70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54D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28D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4A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E817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DAC4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20B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6DEC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600C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1769"/>
    <w:rsid w:val="00C805B6"/>
    <w:rsid w:val="00C808FC"/>
    <w:rsid w:val="00C90C71"/>
    <w:rsid w:val="00C90E6F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B68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B6E62"/>
  <w15:docId w15:val="{A5626A10-C215-4E57-BAD3-E85FF3E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mer1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411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4</cp:revision>
  <dcterms:created xsi:type="dcterms:W3CDTF">2019-07-23T13:45:00Z</dcterms:created>
  <dcterms:modified xsi:type="dcterms:W3CDTF">2019-07-23T14:05:00Z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9b355b85-fa1f-4c9b-8c7f-2308405cfc71</vt:lpwstr>
  </property>
  <property fmtid="{D5CDD505-2E9C-101B-9397-08002B2CF9AE}" pid="4" name="WTOCLASSIFICATION">
    <vt:lpwstr>PUBLIC</vt:lpwstr>
  </property>
</Properties>
</file>