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A94102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A94102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8F33B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Philippines</w:t>
            </w:r>
            <w:bookmarkEnd w:id="1"/>
            <w:r w:rsidRPr="002F6A28">
              <w:t xml:space="preserve"> </w:t>
            </w:r>
          </w:p>
          <w:p w:rsidR="00F85C99" w:rsidRPr="002F6A28" w:rsidRDefault="00A94102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8F33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Health - Food and Drug Administration</w:t>
            </w:r>
            <w:bookmarkEnd w:id="5"/>
          </w:p>
          <w:p w:rsidR="00F85C99" w:rsidRPr="002F6A28" w:rsidRDefault="00A94102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8F33BC" w:rsidRPr="00E169C4" w:rsidRDefault="00A94102" w:rsidP="00AA646C">
            <w:pPr>
              <w:rPr>
                <w:lang w:val="es-ES"/>
              </w:rPr>
            </w:pPr>
            <w:proofErr w:type="spellStart"/>
            <w:r w:rsidRPr="00E169C4">
              <w:rPr>
                <w:lang w:val="es-ES"/>
              </w:rPr>
              <w:t>Engr</w:t>
            </w:r>
            <w:proofErr w:type="spellEnd"/>
            <w:r w:rsidRPr="00E169C4">
              <w:rPr>
                <w:lang w:val="es-ES"/>
              </w:rPr>
              <w:t xml:space="preserve">. ANA TRINIDAD F. RIVERA, </w:t>
            </w:r>
            <w:proofErr w:type="spellStart"/>
            <w:r w:rsidRPr="00E169C4">
              <w:rPr>
                <w:lang w:val="es-ES"/>
              </w:rPr>
              <w:t>MSc</w:t>
            </w:r>
            <w:proofErr w:type="spellEnd"/>
            <w:r w:rsidRPr="00E169C4">
              <w:rPr>
                <w:lang w:val="es-ES"/>
              </w:rPr>
              <w:t>.</w:t>
            </w:r>
          </w:p>
          <w:p w:rsidR="008F33BC" w:rsidRPr="002F6A28" w:rsidRDefault="00A94102" w:rsidP="00AA646C">
            <w:r w:rsidRPr="002F6A28">
              <w:t>Director IV</w:t>
            </w:r>
          </w:p>
          <w:p w:rsidR="008F33BC" w:rsidRPr="002F6A28" w:rsidRDefault="00A94102" w:rsidP="00AA646C">
            <w:r w:rsidRPr="002F6A28">
              <w:t>Center for Cosmetics Regulation and Research Food and Drug Administration (CCRR)</w:t>
            </w:r>
          </w:p>
          <w:p w:rsidR="008F33BC" w:rsidRPr="002F6A28" w:rsidRDefault="00A94102" w:rsidP="00AA646C">
            <w:r w:rsidRPr="002F6A28">
              <w:t xml:space="preserve">Civic Drive, Filinvest Corporate City, </w:t>
            </w:r>
          </w:p>
          <w:p w:rsidR="008F33BC" w:rsidRPr="002F6A28" w:rsidRDefault="00A94102" w:rsidP="00AA646C">
            <w:r w:rsidRPr="002F6A28">
              <w:t>Alabang 1781, Muntinlupa City</w:t>
            </w:r>
          </w:p>
          <w:p w:rsidR="008F33BC" w:rsidRPr="002F6A28" w:rsidRDefault="00A94102" w:rsidP="00AA646C">
            <w:r w:rsidRPr="002F6A28">
              <w:t>Tel. No.: +632.857.1900 loc. 8113 or 8107</w:t>
            </w:r>
          </w:p>
          <w:p w:rsidR="008F33BC" w:rsidRPr="002F6A28" w:rsidRDefault="00A94102" w:rsidP="00AA646C">
            <w:pPr>
              <w:spacing w:after="120"/>
            </w:pPr>
            <w:r w:rsidRPr="002F6A28">
              <w:t xml:space="preserve">Email: </w:t>
            </w:r>
            <w:hyperlink r:id="rId7" w:history="1">
              <w:r w:rsidRPr="0032144E">
                <w:rPr>
                  <w:rStyle w:val="Hyperlink"/>
                </w:rPr>
                <w:t>infor@fda.gov.ph</w:t>
              </w:r>
            </w:hyperlink>
            <w:r w:rsidRPr="002F6A28">
              <w:t xml:space="preserve">; </w:t>
            </w:r>
            <w:hyperlink r:id="rId8" w:history="1">
              <w:r w:rsidRPr="0032144E">
                <w:rPr>
                  <w:rStyle w:val="Hyperlink"/>
                </w:rPr>
                <w:t>ccrr@fda.gov.ph</w:t>
              </w:r>
            </w:hyperlink>
            <w:r w:rsidRPr="002F6A28">
              <w:t xml:space="preserve">; </w:t>
            </w:r>
            <w:hyperlink r:id="rId9" w:history="1">
              <w:r w:rsidRPr="0032144E">
                <w:rPr>
                  <w:rStyle w:val="Hyperlink"/>
                </w:rPr>
                <w:t>mcdledesma@fda.gov.ph</w:t>
              </w:r>
            </w:hyperlink>
            <w:bookmarkEnd w:id="7"/>
            <w:r>
              <w:t xml:space="preserve"> </w:t>
            </w:r>
          </w:p>
        </w:tc>
      </w:tr>
      <w:tr w:rsidR="008F33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A94102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Start w:id="16" w:name="_GoBack"/>
            <w:bookmarkEnd w:id="15"/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End w:id="17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8" w:name="tbt3e"/>
            <w:bookmarkEnd w:id="18"/>
          </w:p>
        </w:tc>
      </w:tr>
      <w:tr w:rsidR="008F33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3a"/>
            <w:r w:rsidRPr="002F6A28">
              <w:rPr>
                <w:bCs/>
              </w:rPr>
              <w:t>Pesticides and other agrochemicals (ICS 65.100)</w:t>
            </w:r>
            <w:bookmarkEnd w:id="20"/>
          </w:p>
        </w:tc>
      </w:tr>
      <w:tr w:rsidR="008F33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5a"/>
            <w:r w:rsidRPr="002F6A28">
              <w:t>Administrative Order No. ___ : "New Rules and Regulations in the Registration of Household Pesticide Products and Their Active Ingredients" (11 page(s), in English)</w:t>
            </w:r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8F33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Consistent with this Act, Administrative Order (AO) No. 2014-0038 entitled "Rules and Regulations Governing Household/Urban Pesticides Licensing of Establishments and Operators, Registration of Their Products and for Other Purposes" was issued on 27 October 2014. As there is a need to provide updated guidelines and requirements consistent with international commitments such as but not limited to Montreal Protocol, Rotterdam Convention, and/or Stockholm Convention, and related local pesticide regulations and standards, this AO shall replace AO 2014-0038 to (1) better protect public health and the environment from the risks associated with pesticide use; and (2) to ensure safety, efficacy and quality of pesticide products.</w:t>
            </w:r>
          </w:p>
        </w:tc>
      </w:tr>
      <w:tr w:rsidR="008F33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To provide updated guidelines and requirements in the registration of household pesticide products that are consistent with international commitments such as but not limited to Montreal Protocol, Rotterdam Convention, and/or Stockholm Convention, and related local pesticide regulations and standards.; Protection of human health or safety</w:t>
            </w:r>
            <w:bookmarkEnd w:id="27"/>
          </w:p>
        </w:tc>
      </w:tr>
      <w:tr w:rsidR="008F33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A94102">
            <w:pPr>
              <w:keepNext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A94102" w:rsidP="00A94102">
            <w:pPr>
              <w:keepNext/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8F33BC" w:rsidRPr="002F6A28" w:rsidRDefault="00A94102" w:rsidP="00A94102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Republic Act (RA) 9711</w:t>
            </w:r>
          </w:p>
          <w:p w:rsidR="008F33BC" w:rsidRPr="002F6A28" w:rsidRDefault="00A94102" w:rsidP="00A94102">
            <w:pPr>
              <w:keepNext/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Administrative Order (AO) No. 2014-0038</w:t>
            </w:r>
          </w:p>
        </w:tc>
      </w:tr>
      <w:tr w:rsidR="008F33B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9410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A94102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This Order shall take effect 15 days after its publication in a national newspaper of general circulation.</w:t>
            </w:r>
            <w:bookmarkEnd w:id="31"/>
          </w:p>
          <w:p w:rsidR="00EE3A11" w:rsidRPr="002F6A28" w:rsidRDefault="00A94102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This Order shall take effect 15 days after its publication in a national newspaper of general circulation.</w:t>
            </w:r>
            <w:bookmarkEnd w:id="34"/>
          </w:p>
        </w:tc>
      </w:tr>
      <w:tr w:rsidR="008F33B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A94102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8F33B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94102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A94102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8F33BC" w:rsidRPr="00E169C4" w:rsidRDefault="00A94102" w:rsidP="00B16145">
            <w:pPr>
              <w:keepNext/>
              <w:keepLines/>
              <w:rPr>
                <w:lang w:val="es-ES"/>
              </w:rPr>
            </w:pPr>
            <w:proofErr w:type="spellStart"/>
            <w:r w:rsidRPr="00E169C4">
              <w:rPr>
                <w:lang w:val="es-ES"/>
              </w:rPr>
              <w:t>Engr</w:t>
            </w:r>
            <w:proofErr w:type="spellEnd"/>
            <w:r w:rsidRPr="00E169C4">
              <w:rPr>
                <w:lang w:val="es-ES"/>
              </w:rPr>
              <w:t xml:space="preserve">. ANA TRINIDAD F. RIVERA, </w:t>
            </w:r>
            <w:proofErr w:type="spellStart"/>
            <w:r w:rsidRPr="00E169C4">
              <w:rPr>
                <w:lang w:val="es-ES"/>
              </w:rPr>
              <w:t>MSc</w:t>
            </w:r>
            <w:proofErr w:type="spellEnd"/>
            <w:r w:rsidRPr="00E169C4">
              <w:rPr>
                <w:lang w:val="es-ES"/>
              </w:rPr>
              <w:t>.</w:t>
            </w:r>
          </w:p>
          <w:p w:rsidR="008F33BC" w:rsidRPr="002F6A28" w:rsidRDefault="00A94102" w:rsidP="00B16145">
            <w:pPr>
              <w:keepNext/>
              <w:keepLines/>
            </w:pPr>
            <w:r w:rsidRPr="002F6A28">
              <w:t>Director IV</w:t>
            </w:r>
          </w:p>
          <w:p w:rsidR="008F33BC" w:rsidRPr="002F6A28" w:rsidRDefault="00A94102" w:rsidP="00B16145">
            <w:pPr>
              <w:keepNext/>
              <w:keepLines/>
            </w:pPr>
            <w:r w:rsidRPr="002F6A28">
              <w:t>Center for Cosmetics Regulation and Research Food and Drug Administration (CCRR)</w:t>
            </w:r>
          </w:p>
          <w:p w:rsidR="008F33BC" w:rsidRPr="002F6A28" w:rsidRDefault="00A94102" w:rsidP="00B16145">
            <w:pPr>
              <w:keepNext/>
              <w:keepLines/>
            </w:pPr>
            <w:r w:rsidRPr="002F6A28">
              <w:t xml:space="preserve">Civic Drive, Filinvest Corporate City, </w:t>
            </w:r>
          </w:p>
          <w:p w:rsidR="008F33BC" w:rsidRPr="002F6A28" w:rsidRDefault="00A94102" w:rsidP="00B16145">
            <w:pPr>
              <w:keepNext/>
              <w:keepLines/>
            </w:pPr>
            <w:r w:rsidRPr="002F6A28">
              <w:t>Alabang 1781, Muntinlupa City</w:t>
            </w:r>
          </w:p>
          <w:p w:rsidR="008F33BC" w:rsidRPr="002F6A28" w:rsidRDefault="00A94102" w:rsidP="00B16145">
            <w:pPr>
              <w:keepNext/>
              <w:keepLines/>
            </w:pPr>
            <w:r w:rsidRPr="002F6A28">
              <w:t>Tel. No.: +632.857.1900 loc. 8113 or 8107</w:t>
            </w:r>
          </w:p>
          <w:p w:rsidR="008F33BC" w:rsidRPr="002F6A28" w:rsidRDefault="00A94102" w:rsidP="00B16145">
            <w:pPr>
              <w:keepNext/>
              <w:keepLines/>
              <w:spacing w:after="120"/>
            </w:pPr>
            <w:r w:rsidRPr="002F6A28">
              <w:t xml:space="preserve">Email: </w:t>
            </w:r>
            <w:hyperlink r:id="rId10" w:history="1">
              <w:r w:rsidRPr="0032144E">
                <w:rPr>
                  <w:rStyle w:val="Hyperlink"/>
                </w:rPr>
                <w:t>infor@fda.gov.ph</w:t>
              </w:r>
            </w:hyperlink>
            <w:r w:rsidRPr="002F6A28">
              <w:t xml:space="preserve">; </w:t>
            </w:r>
            <w:hyperlink r:id="rId11" w:history="1">
              <w:r w:rsidRPr="0032144E">
                <w:rPr>
                  <w:rStyle w:val="Hyperlink"/>
                </w:rPr>
                <w:t>ccrr@fda.gov.ph</w:t>
              </w:r>
            </w:hyperlink>
            <w:r w:rsidRPr="002F6A28">
              <w:t xml:space="preserve">; </w:t>
            </w:r>
            <w:hyperlink r:id="rId12" w:history="1">
              <w:r w:rsidRPr="0032144E">
                <w:rPr>
                  <w:rStyle w:val="Hyperlink"/>
                </w:rPr>
                <w:t>mcdledesma@fda.gov.ph</w:t>
              </w:r>
            </w:hyperlink>
            <w:r>
              <w:t xml:space="preserve"> </w:t>
            </w:r>
          </w:p>
          <w:p w:rsidR="008F33BC" w:rsidRPr="002F6A28" w:rsidRDefault="00065E2E" w:rsidP="00B16145">
            <w:pPr>
              <w:keepNext/>
              <w:keepLines/>
              <w:spacing w:before="120" w:after="120"/>
            </w:pPr>
            <w:hyperlink r:id="rId13" w:history="1">
              <w:r w:rsidR="00A94102" w:rsidRPr="002F6A28">
                <w:rPr>
                  <w:color w:val="0000FF"/>
                  <w:u w:val="single"/>
                </w:rPr>
                <w:t>https://members.wto.org/crnattachments/2019/TBT/PHL/19_3380_00_e.pdf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E169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625" w:rsidRDefault="00A94102">
      <w:r>
        <w:separator/>
      </w:r>
    </w:p>
  </w:endnote>
  <w:endnote w:type="continuationSeparator" w:id="0">
    <w:p w:rsidR="004C2625" w:rsidRDefault="00A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169C4" w:rsidRDefault="00E169C4" w:rsidP="00E169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E169C4" w:rsidRDefault="00E169C4" w:rsidP="00E169C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A94102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625" w:rsidRDefault="00A94102">
      <w:r>
        <w:separator/>
      </w:r>
    </w:p>
  </w:footnote>
  <w:footnote w:type="continuationSeparator" w:id="0">
    <w:p w:rsidR="004C2625" w:rsidRDefault="00A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C4" w:rsidRPr="00E169C4" w:rsidRDefault="00E169C4" w:rsidP="00E169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69C4">
      <w:t>G/TBT/N/PHL/217</w:t>
    </w:r>
  </w:p>
  <w:p w:rsidR="00E169C4" w:rsidRPr="00E169C4" w:rsidRDefault="00E169C4" w:rsidP="00E169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69C4" w:rsidRPr="00E169C4" w:rsidRDefault="00E169C4" w:rsidP="00E169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69C4">
      <w:t xml:space="preserve">- </w:t>
    </w:r>
    <w:r w:rsidRPr="00E169C4">
      <w:fldChar w:fldCharType="begin"/>
    </w:r>
    <w:r w:rsidRPr="00E169C4">
      <w:instrText xml:space="preserve"> PAGE </w:instrText>
    </w:r>
    <w:r w:rsidRPr="00E169C4">
      <w:fldChar w:fldCharType="separate"/>
    </w:r>
    <w:r w:rsidRPr="00E169C4">
      <w:rPr>
        <w:noProof/>
      </w:rPr>
      <w:t>2</w:t>
    </w:r>
    <w:r w:rsidRPr="00E169C4">
      <w:fldChar w:fldCharType="end"/>
    </w:r>
    <w:r w:rsidRPr="00E169C4">
      <w:t xml:space="preserve"> -</w:t>
    </w:r>
  </w:p>
  <w:p w:rsidR="009239F7" w:rsidRPr="00E169C4" w:rsidRDefault="009239F7" w:rsidP="00E169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C4" w:rsidRPr="00E169C4" w:rsidRDefault="00E169C4" w:rsidP="00E169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69C4">
      <w:t>G/TBT/N/PHL/217</w:t>
    </w:r>
  </w:p>
  <w:p w:rsidR="00E169C4" w:rsidRPr="00E169C4" w:rsidRDefault="00E169C4" w:rsidP="00E169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E169C4" w:rsidRPr="00E169C4" w:rsidRDefault="00E169C4" w:rsidP="00E169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169C4">
      <w:t xml:space="preserve">- </w:t>
    </w:r>
    <w:r w:rsidRPr="00E169C4">
      <w:fldChar w:fldCharType="begin"/>
    </w:r>
    <w:r w:rsidRPr="00E169C4">
      <w:instrText xml:space="preserve"> PAGE </w:instrText>
    </w:r>
    <w:r w:rsidRPr="00E169C4">
      <w:fldChar w:fldCharType="separate"/>
    </w:r>
    <w:r w:rsidRPr="00E169C4">
      <w:rPr>
        <w:noProof/>
      </w:rPr>
      <w:t>2</w:t>
    </w:r>
    <w:r w:rsidRPr="00E169C4">
      <w:fldChar w:fldCharType="end"/>
    </w:r>
    <w:r w:rsidRPr="00E169C4">
      <w:t xml:space="preserve"> -</w:t>
    </w:r>
  </w:p>
  <w:p w:rsidR="009239F7" w:rsidRPr="00E169C4" w:rsidRDefault="009239F7" w:rsidP="00E169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F33B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169C4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8F33B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1F45AD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F33B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169C4" w:rsidRDefault="00E169C4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G/TBT/N/PHL/217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8F33B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983C9E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11 June 2019</w:t>
          </w:r>
        </w:p>
      </w:tc>
    </w:tr>
    <w:tr w:rsidR="008F33B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94102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983C9E">
            <w:rPr>
              <w:color w:val="FF0000"/>
              <w:szCs w:val="16"/>
            </w:rPr>
            <w:t>19-</w:t>
          </w:r>
          <w:r w:rsidR="00823686">
            <w:rPr>
              <w:color w:val="FF0000"/>
              <w:szCs w:val="16"/>
            </w:rPr>
            <w:t>3996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A94102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8F33B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E169C4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E169C4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1BC7D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6869808" w:tentative="1">
      <w:start w:val="1"/>
      <w:numFmt w:val="lowerLetter"/>
      <w:lvlText w:val="%2."/>
      <w:lvlJc w:val="left"/>
      <w:pPr>
        <w:ind w:left="1080" w:hanging="360"/>
      </w:pPr>
    </w:lvl>
    <w:lvl w:ilvl="2" w:tplc="16F4EF0C" w:tentative="1">
      <w:start w:val="1"/>
      <w:numFmt w:val="lowerRoman"/>
      <w:lvlText w:val="%3."/>
      <w:lvlJc w:val="right"/>
      <w:pPr>
        <w:ind w:left="1800" w:hanging="180"/>
      </w:pPr>
    </w:lvl>
    <w:lvl w:ilvl="3" w:tplc="305C86CC" w:tentative="1">
      <w:start w:val="1"/>
      <w:numFmt w:val="decimal"/>
      <w:lvlText w:val="%4."/>
      <w:lvlJc w:val="left"/>
      <w:pPr>
        <w:ind w:left="2520" w:hanging="360"/>
      </w:pPr>
    </w:lvl>
    <w:lvl w:ilvl="4" w:tplc="B0762678" w:tentative="1">
      <w:start w:val="1"/>
      <w:numFmt w:val="lowerLetter"/>
      <w:lvlText w:val="%5."/>
      <w:lvlJc w:val="left"/>
      <w:pPr>
        <w:ind w:left="3240" w:hanging="360"/>
      </w:pPr>
    </w:lvl>
    <w:lvl w:ilvl="5" w:tplc="437675E8" w:tentative="1">
      <w:start w:val="1"/>
      <w:numFmt w:val="lowerRoman"/>
      <w:lvlText w:val="%6."/>
      <w:lvlJc w:val="right"/>
      <w:pPr>
        <w:ind w:left="3960" w:hanging="180"/>
      </w:pPr>
    </w:lvl>
    <w:lvl w:ilvl="6" w:tplc="C082C3EA" w:tentative="1">
      <w:start w:val="1"/>
      <w:numFmt w:val="decimal"/>
      <w:lvlText w:val="%7."/>
      <w:lvlJc w:val="left"/>
      <w:pPr>
        <w:ind w:left="4680" w:hanging="360"/>
      </w:pPr>
    </w:lvl>
    <w:lvl w:ilvl="7" w:tplc="5972C94A" w:tentative="1">
      <w:start w:val="1"/>
      <w:numFmt w:val="lowerLetter"/>
      <w:lvlText w:val="%8."/>
      <w:lvlJc w:val="left"/>
      <w:pPr>
        <w:ind w:left="5400" w:hanging="360"/>
      </w:pPr>
    </w:lvl>
    <w:lvl w:ilvl="8" w:tplc="A9245A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A1A5E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AE6A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BA3A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D9E99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6257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9DEF7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841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0AA30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58C4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65E2E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1F45AD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625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3686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8F33BC"/>
    <w:rsid w:val="009239F7"/>
    <w:rsid w:val="00955D8A"/>
    <w:rsid w:val="00964F4F"/>
    <w:rsid w:val="0097650D"/>
    <w:rsid w:val="009811DD"/>
    <w:rsid w:val="00983C9E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4102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169C4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12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A9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r@fda.gov.ph" TargetMode="External"/><Relationship Id="rId13" Type="http://schemas.openxmlformats.org/officeDocument/2006/relationships/hyperlink" Target="https://members.wto.org/crnattachments/2019/TBT/PHL/19_3380_00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infor@fda.gov.ph" TargetMode="External"/><Relationship Id="rId12" Type="http://schemas.openxmlformats.org/officeDocument/2006/relationships/hyperlink" Target="mailto:mcdledesma@fda.gov.p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crr@fda.gov.ph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r@fda.gov.p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mcdledesma@fda.gov.ph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481</Words>
  <Characters>2951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2019-06-11T10:36:00Z</dcterms:created>
  <dcterms:modified xsi:type="dcterms:W3CDTF">2019-06-11T12:20:00Z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G/TBT/N/PHL/217</vt:lpwstr>
  </property>
</Properties>
</file>