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81E5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:rsidR="009239F7" w:rsidRPr="002F6A28" w:rsidRDefault="00481E5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9388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Switzerland</w:t>
            </w:r>
            <w:bookmarkEnd w:id="2"/>
            <w:r w:rsidRPr="002F6A28">
              <w:t xml:space="preserve"> </w:t>
            </w:r>
          </w:p>
          <w:p w:rsidR="00F85C99" w:rsidRPr="002F6A28" w:rsidRDefault="00481E5F" w:rsidP="009E7F0C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Federal Office of Communications</w:t>
            </w:r>
            <w:bookmarkEnd w:id="6"/>
          </w:p>
          <w:p w:rsidR="00F85C99" w:rsidRPr="002F6A28" w:rsidRDefault="00481E5F" w:rsidP="009E7F0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393887" w:rsidRPr="002F6A28" w:rsidRDefault="00481E5F" w:rsidP="009E7F0C">
            <w:r w:rsidRPr="002F6A28">
              <w:t>State Secretariat for Economic Affairs SECO</w:t>
            </w:r>
          </w:p>
          <w:p w:rsidR="00393887" w:rsidRPr="002F6A28" w:rsidRDefault="00481E5F" w:rsidP="009E7F0C">
            <w:r w:rsidRPr="002F6A28">
              <w:t>Holzikofenweg 36, 3003 Berne</w:t>
            </w:r>
          </w:p>
          <w:p w:rsidR="0033254E" w:rsidRPr="002F6A28" w:rsidRDefault="00481E5F" w:rsidP="009E7F0C">
            <w:pPr>
              <w:spacing w:after="120"/>
            </w:pPr>
            <w:r w:rsidRPr="002F6A28">
              <w:t xml:space="preserve">tbt@seco.admin.ch, </w:t>
            </w:r>
            <w:hyperlink r:id="rId7" w:history="1">
              <w:r w:rsidR="0033254E" w:rsidRPr="0079717C">
                <w:rPr>
                  <w:rStyle w:val="Hyperlink"/>
                </w:rPr>
                <w:t>www.seco.admin.ch</w:t>
              </w:r>
            </w:hyperlink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81E5F" w:rsidP="009E7F0C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026CC3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026CC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026CC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Telecommunication equipment, radio equipment and telecommunication terminal equipment</w:t>
            </w:r>
            <w:bookmarkEnd w:id="16"/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393887" w:rsidRPr="002F6A28" w:rsidRDefault="00481E5F" w:rsidP="009E7F0C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Draft revision of the Ordinance of the Swiss Federal Office of Communications on telecommunications installations (OOIT), 2 pages in French, German and Italian (to be amended)</w:t>
            </w:r>
          </w:p>
          <w:p w:rsidR="00393887" w:rsidRPr="002F6A28" w:rsidRDefault="00481E5F" w:rsidP="009E7F0C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Radio Interface Regulation (RIR): RIR0203-14, RIR0203-15, RIR0203-16, RIR0203-17, RIR0203-18, RIR0203-20, RIR0302-12, RIR0302-17, RIR0302-24, RIR0302-31, RIR0302-32, RIR0302-46, RIR0302-48, RIR0806-15, RIR0806-20, RIR0808-13, RIR1003-11, RIR1003-12, RIR1004-01, RIR1010-05 (to be amended)</w:t>
            </w:r>
          </w:p>
          <w:p w:rsidR="00393887" w:rsidRPr="002F6A28" w:rsidRDefault="00481E5F" w:rsidP="009E7F0C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No Radio Interface Regulation (RIR) is completely new or abrogated</w:t>
            </w:r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bookmarkStart w:id="18" w:name="X_TBT_Reg_6A"/>
            <w:r w:rsidRPr="002F6A28">
              <w:rPr>
                <w:b/>
              </w:rPr>
              <w:t>Description of content</w:t>
            </w:r>
            <w:bookmarkEnd w:id="18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 xml:space="preserve">The Ordinance of the Swiss Federal Office of Communications on telecommunications installations (OOIT) specifies the basic technical requirements </w:t>
            </w:r>
            <w:proofErr w:type="gramStart"/>
            <w:r w:rsidRPr="002F6A28">
              <w:t>with regard to</w:t>
            </w:r>
            <w:proofErr w:type="gramEnd"/>
            <w:r w:rsidRPr="002F6A28">
              <w:t xml:space="preserve"> telecommunications installations set out by the Swiss Federal Council. It regulates the use of radio interfaces in Switzerland.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 xml:space="preserve">For the RIR0203-14, RIR0203-15 and RIR0203-20 the </w:t>
            </w:r>
            <w:r w:rsidR="00026CC3" w:rsidRPr="00026CC3">
              <w:t>"</w:t>
            </w:r>
            <w:r w:rsidRPr="002F6A28">
              <w:t>application description</w:t>
            </w:r>
            <w:r w:rsidR="00026CC3" w:rsidRPr="00026CC3">
              <w:t>"</w:t>
            </w:r>
            <w:r w:rsidRPr="002F6A28">
              <w:t xml:space="preserve"> will be modified to </w:t>
            </w:r>
            <w:r w:rsidR="00026CC3" w:rsidRPr="00026CC3">
              <w:t>"</w:t>
            </w:r>
            <w:r w:rsidRPr="002F6A28">
              <w:t>Video PMSE</w:t>
            </w:r>
            <w:r w:rsidR="00026CC3" w:rsidRPr="00026CC3">
              <w:t>"</w:t>
            </w:r>
            <w:r w:rsidRPr="002F6A28">
              <w:t xml:space="preserve"> instead of </w:t>
            </w:r>
            <w:r w:rsidR="00026CC3" w:rsidRPr="00026CC3">
              <w:t>"</w:t>
            </w:r>
            <w:r w:rsidRPr="002F6A28">
              <w:t>SAP/SAB and ENG/OB</w:t>
            </w:r>
            <w:r w:rsidR="00026CC3" w:rsidRPr="00026CC3">
              <w:t>"</w:t>
            </w:r>
            <w:r w:rsidRPr="002F6A28">
              <w:t>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For the RIR0203-16, RIR0203-17, RIR0203-18 the channelling requirement (7 MHz) and the maximum occupied bandwidth requirement (20 MHz) will be removed.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In the RIR0302-12 an error will be corrected, due to the fact, that during transition from the R&amp;TTE-Directive to the RE-Directive the number of the harmonized standard has changed (old: EN 302 217-4-2 new: EN 302 217-4)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lastRenderedPageBreak/>
              <w:t>For the RIR0302-17, RIR0302-24, RIR0302-31, RIR0302-32, RIR0302-46, RIR0302-48 additional channellings (55 MHz, 112 MHz, 56 MHz, 56 MHz, 1000 MHz, 112 MHz) will be added.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 xml:space="preserve">For the RIR0806-15 a reduction of the receiving frequency </w:t>
            </w:r>
            <w:proofErr w:type="gramStart"/>
            <w:r w:rsidRPr="002F6A28">
              <w:t>range</w:t>
            </w:r>
            <w:proofErr w:type="gramEnd"/>
            <w:r w:rsidRPr="002F6A28">
              <w:t xml:space="preserve"> from 3.40 - 4.20 GHz down to 3.60 - 4.20 GHz will be introduced.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For the RIR0806-20 adaptions will be done due to amendment of the ECC/DEC</w:t>
            </w:r>
            <w:proofErr w:type="gramStart"/>
            <w:r w:rsidRPr="002F6A28">
              <w:t>/(</w:t>
            </w:r>
            <w:proofErr w:type="gramEnd"/>
            <w:r w:rsidRPr="002F6A28">
              <w:t>13)01.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For the RIR0808-13 the reference ERC/DEC</w:t>
            </w:r>
            <w:proofErr w:type="gramStart"/>
            <w:r w:rsidRPr="002F6A28">
              <w:t>/(</w:t>
            </w:r>
            <w:proofErr w:type="gramEnd"/>
            <w:r w:rsidRPr="002F6A28">
              <w:t>99)05 will be removed because this decision has been withdrawn.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For the RIR1003-11, RIR1003-12 the requirement of a minimum occupied bandwidth of 600 kHz will be introduced.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For the RIR1004-01 the reference ERC/</w:t>
            </w:r>
            <w:proofErr w:type="gramStart"/>
            <w:r w:rsidRPr="002F6A28">
              <w:t>DEC(</w:t>
            </w:r>
            <w:proofErr w:type="gramEnd"/>
            <w:r w:rsidRPr="002F6A28">
              <w:t>01)08 will be replaced by ECC/DEC/(18)03.</w:t>
            </w:r>
          </w:p>
          <w:p w:rsidR="00393887" w:rsidRPr="002F6A28" w:rsidRDefault="00481E5F" w:rsidP="009E7F0C">
            <w:pPr>
              <w:spacing w:before="120" w:after="120"/>
            </w:pPr>
            <w:r w:rsidRPr="002F6A28">
              <w:t>For the RIR1010-05, an additional limit (25mW) is defined, which applies to equipment to be used inside vehicles.</w:t>
            </w:r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bookmarkStart w:id="19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7f"/>
            <w:r w:rsidRPr="002F6A28">
              <w:t xml:space="preserve">The OOIT </w:t>
            </w:r>
            <w:proofErr w:type="gramStart"/>
            <w:r w:rsidRPr="002F6A28">
              <w:t>has to</w:t>
            </w:r>
            <w:proofErr w:type="gramEnd"/>
            <w:r w:rsidRPr="002F6A28">
              <w:t xml:space="preserve"> be updated to follow the latest frequency management in Europe.; Harmonization</w:t>
            </w:r>
            <w:bookmarkEnd w:id="20"/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81E5F" w:rsidP="009E7F0C">
            <w:pPr>
              <w:spacing w:before="120" w:after="120"/>
            </w:pPr>
            <w:bookmarkStart w:id="21" w:name="X_TBT_Reg_8A"/>
            <w:r w:rsidRPr="002F6A28">
              <w:rPr>
                <w:b/>
              </w:rPr>
              <w:t>Relevant documents</w:t>
            </w:r>
            <w:bookmarkEnd w:id="21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93887" w:rsidRPr="002F6A28" w:rsidRDefault="00481E5F" w:rsidP="009E7F0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Ordinance of 26 May 2016 of the Swiss Federal Office of Communications on telecommunications installations (OOIT; RS 784.101.21), available in </w:t>
            </w:r>
            <w:hyperlink r:id="rId8" w:history="1">
              <w:r w:rsidRPr="009E7F0C">
                <w:rPr>
                  <w:rStyle w:val="Hyperlink"/>
                  <w:bCs/>
                </w:rPr>
                <w:t>French</w:t>
              </w:r>
            </w:hyperlink>
            <w:r w:rsidRPr="002F6A28">
              <w:rPr>
                <w:bCs/>
              </w:rPr>
              <w:t xml:space="preserve">, </w:t>
            </w:r>
            <w:hyperlink r:id="rId9" w:history="1">
              <w:r w:rsidRPr="009E7F0C">
                <w:rPr>
                  <w:rStyle w:val="Hyperlink"/>
                  <w:bCs/>
                </w:rPr>
                <w:t>German</w:t>
              </w:r>
            </w:hyperlink>
            <w:r w:rsidRPr="002F6A28">
              <w:rPr>
                <w:bCs/>
              </w:rPr>
              <w:t xml:space="preserve"> and </w:t>
            </w:r>
            <w:hyperlink r:id="rId10" w:history="1">
              <w:r w:rsidRPr="009E7F0C">
                <w:rPr>
                  <w:rStyle w:val="Hyperlink"/>
                  <w:bCs/>
                </w:rPr>
                <w:t>Italian</w:t>
              </w:r>
            </w:hyperlink>
            <w:r w:rsidRPr="002F6A28">
              <w:rPr>
                <w:bCs/>
              </w:rPr>
              <w:t>.</w:t>
            </w:r>
          </w:p>
          <w:p w:rsidR="00393887" w:rsidRPr="00026CC3" w:rsidRDefault="00210BC7" w:rsidP="009E7F0C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fr-CH"/>
              </w:rPr>
            </w:pPr>
            <w:hyperlink r:id="rId11" w:history="1">
              <w:r w:rsidR="00481E5F" w:rsidRPr="009E7F0C">
                <w:rPr>
                  <w:rStyle w:val="Hyperlink"/>
                  <w:bCs/>
                  <w:lang w:val="fr-CH"/>
                </w:rPr>
                <w:t>RIR0203-</w:t>
              </w:r>
              <w:r w:rsidR="009E7F0C" w:rsidRPr="009E7F0C">
                <w:rPr>
                  <w:rStyle w:val="Hyperlink"/>
                  <w:bCs/>
                  <w:lang w:val="fr-CH"/>
                </w:rPr>
                <w:t>14</w:t>
              </w:r>
            </w:hyperlink>
            <w:r w:rsidR="009E7F0C" w:rsidRPr="00026CC3">
              <w:rPr>
                <w:bCs/>
                <w:lang w:val="fr-CH"/>
              </w:rPr>
              <w:t>,</w:t>
            </w:r>
            <w:r w:rsidR="00481E5F" w:rsidRPr="00026CC3">
              <w:rPr>
                <w:bCs/>
                <w:lang w:val="fr-CH"/>
              </w:rPr>
              <w:t xml:space="preserve"> </w:t>
            </w:r>
            <w:hyperlink r:id="rId12" w:history="1">
              <w:r w:rsidR="00481E5F" w:rsidRPr="009E7F0C">
                <w:rPr>
                  <w:rStyle w:val="Hyperlink"/>
                  <w:bCs/>
                  <w:lang w:val="fr-CH"/>
                </w:rPr>
                <w:t>RIR0203-15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3" w:history="1">
              <w:r w:rsidR="00481E5F" w:rsidRPr="009E7F0C">
                <w:rPr>
                  <w:rStyle w:val="Hyperlink"/>
                  <w:bCs/>
                  <w:lang w:val="fr-CH"/>
                </w:rPr>
                <w:t>RIR0203-16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4" w:history="1">
              <w:r w:rsidR="00481E5F" w:rsidRPr="009E7F0C">
                <w:rPr>
                  <w:rStyle w:val="Hyperlink"/>
                  <w:bCs/>
                  <w:lang w:val="fr-CH"/>
                </w:rPr>
                <w:t>RIR0203-17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5" w:history="1">
              <w:r w:rsidR="00481E5F" w:rsidRPr="009E7F0C">
                <w:rPr>
                  <w:rStyle w:val="Hyperlink"/>
                  <w:bCs/>
                  <w:lang w:val="fr-CH"/>
                </w:rPr>
                <w:t>RIR0203-18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6" w:history="1">
              <w:r w:rsidR="00481E5F" w:rsidRPr="009E7F0C">
                <w:rPr>
                  <w:rStyle w:val="Hyperlink"/>
                  <w:bCs/>
                  <w:lang w:val="fr-CH"/>
                </w:rPr>
                <w:t>RIR0203-20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7" w:history="1">
              <w:r w:rsidR="00481E5F" w:rsidRPr="009E7F0C">
                <w:rPr>
                  <w:rStyle w:val="Hyperlink"/>
                  <w:bCs/>
                  <w:lang w:val="fr-CH"/>
                </w:rPr>
                <w:t>RIR0302-12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8" w:history="1">
              <w:r w:rsidR="00481E5F" w:rsidRPr="009E7F0C">
                <w:rPr>
                  <w:rStyle w:val="Hyperlink"/>
                  <w:bCs/>
                  <w:lang w:val="fr-CH"/>
                </w:rPr>
                <w:t>RIR0302-17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19" w:history="1">
              <w:r w:rsidR="00481E5F" w:rsidRPr="00DC04EE">
                <w:rPr>
                  <w:rStyle w:val="Hyperlink"/>
                  <w:bCs/>
                  <w:lang w:val="fr-CH"/>
                </w:rPr>
                <w:t>RIR0302-24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0" w:history="1">
              <w:r w:rsidR="00481E5F" w:rsidRPr="00DC04EE">
                <w:rPr>
                  <w:rStyle w:val="Hyperlink"/>
                  <w:bCs/>
                  <w:lang w:val="fr-CH"/>
                </w:rPr>
                <w:t>RIR0302-31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1" w:history="1">
              <w:r w:rsidR="00481E5F" w:rsidRPr="00F049F2">
                <w:rPr>
                  <w:rStyle w:val="Hyperlink"/>
                  <w:bCs/>
                  <w:lang w:val="fr-CH"/>
                </w:rPr>
                <w:t>RIR0302-32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2" w:history="1">
              <w:r w:rsidR="00481E5F" w:rsidRPr="00F049F2">
                <w:rPr>
                  <w:rStyle w:val="Hyperlink"/>
                  <w:bCs/>
                  <w:lang w:val="fr-CH"/>
                </w:rPr>
                <w:t>RIR0302-46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3" w:history="1">
              <w:r w:rsidR="00481E5F" w:rsidRPr="00F049F2">
                <w:rPr>
                  <w:rStyle w:val="Hyperlink"/>
                  <w:bCs/>
                  <w:lang w:val="fr-CH"/>
                </w:rPr>
                <w:t>RIR0302-48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4" w:history="1">
              <w:r w:rsidR="00481E5F" w:rsidRPr="00F049F2">
                <w:rPr>
                  <w:rStyle w:val="Hyperlink"/>
                  <w:bCs/>
                  <w:lang w:val="fr-CH"/>
                </w:rPr>
                <w:t>RIR0806-15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5" w:history="1">
              <w:r w:rsidR="00481E5F" w:rsidRPr="00F049F2">
                <w:rPr>
                  <w:rStyle w:val="Hyperlink"/>
                  <w:bCs/>
                  <w:lang w:val="fr-CH"/>
                </w:rPr>
                <w:t>RIR0806-20</w:t>
              </w:r>
            </w:hyperlink>
            <w:r w:rsidR="009E7F0C">
              <w:rPr>
                <w:bCs/>
                <w:lang w:val="fr-CH"/>
              </w:rPr>
              <w:t>,</w:t>
            </w:r>
            <w:r w:rsidR="00481E5F" w:rsidRPr="00026CC3">
              <w:rPr>
                <w:bCs/>
                <w:lang w:val="fr-CH"/>
              </w:rPr>
              <w:t xml:space="preserve"> </w:t>
            </w:r>
            <w:hyperlink r:id="rId26" w:history="1">
              <w:r w:rsidR="00481E5F" w:rsidRPr="00F049F2">
                <w:rPr>
                  <w:rStyle w:val="Hyperlink"/>
                  <w:bCs/>
                  <w:lang w:val="fr-CH"/>
                </w:rPr>
                <w:t>RIR0808-13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7" w:history="1">
              <w:r w:rsidR="00481E5F" w:rsidRPr="00F049F2">
                <w:rPr>
                  <w:rStyle w:val="Hyperlink"/>
                  <w:bCs/>
                  <w:lang w:val="fr-CH"/>
                </w:rPr>
                <w:t>RIR1003-11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8" w:history="1">
              <w:r w:rsidR="00481E5F" w:rsidRPr="00F049F2">
                <w:rPr>
                  <w:rStyle w:val="Hyperlink"/>
                  <w:bCs/>
                  <w:lang w:val="fr-CH"/>
                </w:rPr>
                <w:t>RIR1003-12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29" w:history="1">
              <w:r w:rsidR="00481E5F" w:rsidRPr="00F049F2">
                <w:rPr>
                  <w:rStyle w:val="Hyperlink"/>
                  <w:bCs/>
                  <w:lang w:val="fr-CH"/>
                </w:rPr>
                <w:t>RIR1004-01</w:t>
              </w:r>
            </w:hyperlink>
            <w:r w:rsidR="00481E5F" w:rsidRPr="00026CC3">
              <w:rPr>
                <w:bCs/>
                <w:lang w:val="fr-CH"/>
              </w:rPr>
              <w:t xml:space="preserve">, </w:t>
            </w:r>
            <w:hyperlink r:id="rId30" w:history="1">
              <w:r w:rsidR="00481E5F" w:rsidRPr="00F049F2">
                <w:rPr>
                  <w:rStyle w:val="Hyperlink"/>
                  <w:bCs/>
                  <w:lang w:val="fr-CH"/>
                </w:rPr>
                <w:t>RIR1010-05</w:t>
              </w:r>
            </w:hyperlink>
            <w:r w:rsidR="009E7F0C">
              <w:rPr>
                <w:bCs/>
                <w:lang w:val="fr-CH"/>
              </w:rPr>
              <w:t>.</w:t>
            </w:r>
          </w:p>
          <w:p w:rsidR="00393887" w:rsidRPr="002F6A28" w:rsidRDefault="00481E5F" w:rsidP="009E7F0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Link to all DRAFT RIR: </w:t>
            </w:r>
            <w:hyperlink r:id="rId31" w:anchor="/rirs/drafts" w:history="1">
              <w:r w:rsidRPr="002F6A28">
                <w:rPr>
                  <w:bCs/>
                  <w:color w:val="0000FF"/>
                  <w:u w:val="single"/>
                </w:rPr>
                <w:t>https://www.ofcomnet.ch/#/rirs/drafts</w:t>
              </w:r>
            </w:hyperlink>
          </w:p>
        </w:tc>
      </w:tr>
      <w:tr w:rsidR="0039388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81E5F" w:rsidP="009E7F0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81E5F" w:rsidP="009E7F0C">
            <w:pPr>
              <w:spacing w:before="120" w:after="120"/>
            </w:pPr>
            <w:bookmarkStart w:id="22" w:name="X_TBT_Reg_9A"/>
            <w:r w:rsidRPr="002F6A28">
              <w:rPr>
                <w:b/>
              </w:rPr>
              <w:t>Proposed date of adoption</w:t>
            </w:r>
            <w:bookmarkEnd w:id="2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3" w:name="sps10a"/>
            <w:r w:rsidRPr="002F6A28">
              <w:t>1 September 2019</w:t>
            </w:r>
            <w:bookmarkStart w:id="24" w:name="sps10b"/>
            <w:bookmarkEnd w:id="23"/>
            <w:bookmarkEnd w:id="24"/>
          </w:p>
          <w:p w:rsidR="00EE3A11" w:rsidRPr="002F6A28" w:rsidRDefault="00481E5F" w:rsidP="009E7F0C">
            <w:pPr>
              <w:spacing w:after="120"/>
            </w:pPr>
            <w:bookmarkStart w:id="25" w:name="X_TBT_Reg_9B"/>
            <w:r w:rsidRPr="002F6A28">
              <w:rPr>
                <w:b/>
              </w:rPr>
              <w:t>Proposed date of entry into force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11a"/>
            <w:r w:rsidRPr="002F6A28">
              <w:t>1 September 2019</w:t>
            </w:r>
            <w:bookmarkStart w:id="27" w:name="sps11b"/>
            <w:bookmarkEnd w:id="26"/>
            <w:bookmarkEnd w:id="27"/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81E5F" w:rsidP="009E7F0C">
            <w:pPr>
              <w:spacing w:before="120" w:after="120"/>
            </w:pPr>
            <w:bookmarkStart w:id="28" w:name="X_TBT_Reg_10A"/>
            <w:r w:rsidRPr="002F6A28">
              <w:rPr>
                <w:b/>
              </w:rPr>
              <w:t>Final date for comments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9" w:name="sps12a"/>
            <w:r w:rsidRPr="002F6A28">
              <w:rPr>
                <w:bCs/>
              </w:rPr>
              <w:t>20 August 2019</w:t>
            </w:r>
            <w:bookmarkEnd w:id="29"/>
          </w:p>
        </w:tc>
      </w:tr>
      <w:tr w:rsidR="0039388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81E5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81E5F" w:rsidP="00B16145">
            <w:pPr>
              <w:keepNext/>
              <w:keepLines/>
              <w:spacing w:before="120" w:after="120"/>
            </w:pPr>
            <w:bookmarkStart w:id="3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1" w:name="sps13b"/>
            <w:r w:rsidRPr="002F6A28">
              <w:rPr>
                <w:b/>
              </w:rPr>
              <w:t>X</w:t>
            </w:r>
            <w:bookmarkEnd w:id="31"/>
            <w:r w:rsidRPr="002F6A28">
              <w:rPr>
                <w:b/>
              </w:rPr>
              <w:t xml:space="preserve">] </w:t>
            </w:r>
            <w:bookmarkStart w:id="3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3" w:name="sps13c"/>
          </w:p>
          <w:p w:rsidR="009E7F0C" w:rsidRDefault="00210BC7" w:rsidP="009E7F0C">
            <w:pPr>
              <w:keepNext/>
              <w:keepLines/>
              <w:spacing w:after="120"/>
              <w:rPr>
                <w:color w:val="0000FF"/>
                <w:u w:val="single"/>
              </w:rPr>
            </w:pPr>
            <w:hyperlink r:id="rId32" w:history="1">
              <w:r w:rsidR="00481E5F" w:rsidRPr="002F6A28">
                <w:rPr>
                  <w:color w:val="0000FF"/>
                  <w:u w:val="single"/>
                </w:rPr>
                <w:t>https://members.wto.org/crnattachments/2019/TBT/CHE/19_3289_00_f.pdf</w:t>
              </w:r>
            </w:hyperlink>
            <w:bookmarkEnd w:id="33"/>
          </w:p>
          <w:p w:rsidR="009E7F0C" w:rsidRPr="002F6A28" w:rsidRDefault="00210BC7" w:rsidP="009E7F0C">
            <w:pPr>
              <w:keepNext/>
              <w:keepLines/>
              <w:spacing w:after="120"/>
            </w:pPr>
            <w:hyperlink r:id="rId33" w:history="1">
              <w:r w:rsidR="009E7F0C" w:rsidRPr="0079717C">
                <w:rPr>
                  <w:rStyle w:val="Hyperlink"/>
                </w:rPr>
                <w:t>https://members.wto.org/crnattachments/2019/TBT/CHE/19_3289_00_x1.pdf</w:t>
              </w:r>
            </w:hyperlink>
          </w:p>
          <w:p w:rsidR="00393887" w:rsidRPr="002F6A28" w:rsidRDefault="00210BC7" w:rsidP="00B16145">
            <w:pPr>
              <w:keepNext/>
              <w:keepLines/>
              <w:spacing w:after="120"/>
            </w:pPr>
            <w:hyperlink r:id="rId34" w:history="1">
              <w:r w:rsidR="009E7F0C" w:rsidRPr="002F6A28">
                <w:rPr>
                  <w:color w:val="0000FF"/>
                  <w:u w:val="single"/>
                </w:rPr>
                <w:t>https://members.wto.org/crnattachments/2019/TBT/CHE/19_3289_00_x2.pdf</w:t>
              </w:r>
            </w:hyperlink>
          </w:p>
        </w:tc>
      </w:tr>
    </w:tbl>
    <w:p w:rsidR="00EE3A11" w:rsidRPr="002F6A28" w:rsidRDefault="00EE3A11" w:rsidP="002F6A28"/>
    <w:sectPr w:rsidR="00EE3A11" w:rsidRPr="002F6A28" w:rsidSect="00026CC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3B" w:rsidRDefault="00481E5F">
      <w:r>
        <w:separator/>
      </w:r>
    </w:p>
  </w:endnote>
  <w:endnote w:type="continuationSeparator" w:id="0">
    <w:p w:rsidR="00C5323B" w:rsidRDefault="0048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26CC3" w:rsidRDefault="00026CC3" w:rsidP="00026C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26CC3" w:rsidRDefault="00026CC3" w:rsidP="00026C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81E5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3B" w:rsidRDefault="00481E5F">
      <w:r>
        <w:separator/>
      </w:r>
    </w:p>
  </w:footnote>
  <w:footnote w:type="continuationSeparator" w:id="0">
    <w:p w:rsidR="00C5323B" w:rsidRDefault="0048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C3" w:rsidRPr="00026CC3" w:rsidRDefault="00026CC3" w:rsidP="00026C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CC3">
      <w:t>G/TBT/N/CHE/238</w:t>
    </w:r>
  </w:p>
  <w:p w:rsidR="00026CC3" w:rsidRPr="00026CC3" w:rsidRDefault="00026CC3" w:rsidP="00026C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6CC3" w:rsidRPr="00026CC3" w:rsidRDefault="00026CC3" w:rsidP="00026C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CC3">
      <w:t xml:space="preserve">- </w:t>
    </w:r>
    <w:r w:rsidRPr="00026CC3">
      <w:fldChar w:fldCharType="begin"/>
    </w:r>
    <w:r w:rsidRPr="00026CC3">
      <w:instrText xml:space="preserve"> PAGE </w:instrText>
    </w:r>
    <w:r w:rsidRPr="00026CC3">
      <w:fldChar w:fldCharType="separate"/>
    </w:r>
    <w:r w:rsidRPr="00026CC3">
      <w:rPr>
        <w:noProof/>
      </w:rPr>
      <w:t>2</w:t>
    </w:r>
    <w:r w:rsidRPr="00026CC3">
      <w:fldChar w:fldCharType="end"/>
    </w:r>
    <w:r w:rsidRPr="00026CC3">
      <w:t xml:space="preserve"> -</w:t>
    </w:r>
  </w:p>
  <w:p w:rsidR="009239F7" w:rsidRPr="00026CC3" w:rsidRDefault="009239F7" w:rsidP="00026CC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C3" w:rsidRPr="00026CC3" w:rsidRDefault="00026CC3" w:rsidP="00026C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CC3">
      <w:t>G/TBT/N/CHE/238</w:t>
    </w:r>
  </w:p>
  <w:p w:rsidR="00026CC3" w:rsidRPr="00026CC3" w:rsidRDefault="00026CC3" w:rsidP="00026C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6CC3" w:rsidRPr="00026CC3" w:rsidRDefault="00026CC3" w:rsidP="00026C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CC3">
      <w:t xml:space="preserve">- </w:t>
    </w:r>
    <w:r w:rsidRPr="00026CC3">
      <w:fldChar w:fldCharType="begin"/>
    </w:r>
    <w:r w:rsidRPr="00026CC3">
      <w:instrText xml:space="preserve"> PAGE </w:instrText>
    </w:r>
    <w:r w:rsidRPr="00026CC3">
      <w:fldChar w:fldCharType="separate"/>
    </w:r>
    <w:r w:rsidRPr="00026CC3">
      <w:rPr>
        <w:noProof/>
      </w:rPr>
      <w:t>2</w:t>
    </w:r>
    <w:r w:rsidRPr="00026CC3">
      <w:fldChar w:fldCharType="end"/>
    </w:r>
    <w:r w:rsidRPr="00026CC3">
      <w:t xml:space="preserve"> -</w:t>
    </w:r>
  </w:p>
  <w:p w:rsidR="009239F7" w:rsidRPr="00026CC3" w:rsidRDefault="009239F7" w:rsidP="00026CC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388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26CC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4"/>
    <w:tr w:rsidR="0039388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90CF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9388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6CC3" w:rsidRDefault="00026CC3" w:rsidP="00B801E9">
          <w:pPr>
            <w:jc w:val="right"/>
            <w:rPr>
              <w:b/>
              <w:szCs w:val="16"/>
            </w:rPr>
          </w:pPr>
          <w:bookmarkStart w:id="35" w:name="bmkSymbols"/>
          <w:r>
            <w:rPr>
              <w:b/>
              <w:szCs w:val="16"/>
            </w:rPr>
            <w:t>G/TBT/N/CHE/238</w:t>
          </w:r>
        </w:p>
        <w:bookmarkEnd w:id="3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9388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10BC7" w:rsidP="00B801E9">
          <w:pPr>
            <w:jc w:val="right"/>
            <w:rPr>
              <w:szCs w:val="16"/>
            </w:rPr>
          </w:pPr>
          <w:bookmarkStart w:id="36" w:name="spsDateDistribution"/>
          <w:bookmarkStart w:id="37" w:name="bmkDate"/>
          <w:bookmarkEnd w:id="36"/>
          <w:bookmarkEnd w:id="37"/>
          <w:r>
            <w:rPr>
              <w:szCs w:val="16"/>
            </w:rPr>
            <w:t>6 June 2019</w:t>
          </w:r>
        </w:p>
      </w:tc>
    </w:tr>
    <w:tr w:rsidR="0039388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81E5F" w:rsidP="0097650D">
          <w:pPr>
            <w:jc w:val="left"/>
            <w:rPr>
              <w:b/>
            </w:rPr>
          </w:pPr>
          <w:bookmarkStart w:id="38" w:name="bmkSerial"/>
          <w:r w:rsidRPr="002F6A28">
            <w:rPr>
              <w:color w:val="FF0000"/>
              <w:szCs w:val="16"/>
            </w:rPr>
            <w:t>(</w:t>
          </w:r>
          <w:bookmarkStart w:id="39" w:name="spsSerialNumber"/>
          <w:bookmarkEnd w:id="39"/>
          <w:r w:rsidR="00210BC7">
            <w:rPr>
              <w:color w:val="FF0000"/>
              <w:szCs w:val="16"/>
            </w:rPr>
            <w:t>19-3915</w:t>
          </w:r>
          <w:r w:rsidRPr="002F6A28">
            <w:rPr>
              <w:color w:val="FF0000"/>
              <w:szCs w:val="16"/>
            </w:rPr>
            <w:t>)</w:t>
          </w:r>
          <w:bookmarkEnd w:id="3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81E5F" w:rsidP="00B801E9">
          <w:pPr>
            <w:jc w:val="right"/>
            <w:rPr>
              <w:szCs w:val="16"/>
            </w:rPr>
          </w:pPr>
          <w:bookmarkStart w:id="4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0"/>
        </w:p>
      </w:tc>
    </w:tr>
    <w:tr w:rsidR="0039388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26CC3" w:rsidP="00B801E9">
          <w:pPr>
            <w:jc w:val="left"/>
            <w:rPr>
              <w:sz w:val="14"/>
              <w:szCs w:val="16"/>
            </w:rPr>
          </w:pPr>
          <w:bookmarkStart w:id="41" w:name="bmkCommittee"/>
          <w:r>
            <w:rPr>
              <w:b/>
            </w:rPr>
            <w:t>Committee on Technical Barriers to Trade</w:t>
          </w:r>
          <w:bookmarkEnd w:id="4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26CC3" w:rsidP="00B801E9">
          <w:pPr>
            <w:jc w:val="right"/>
            <w:rPr>
              <w:bCs/>
              <w:szCs w:val="18"/>
            </w:rPr>
          </w:pPr>
          <w:bookmarkStart w:id="42" w:name="bmkLanguage"/>
          <w:r>
            <w:rPr>
              <w:bCs/>
              <w:szCs w:val="18"/>
            </w:rPr>
            <w:t>Original: English</w:t>
          </w:r>
          <w:bookmarkEnd w:id="4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E011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0E7FBE" w:tentative="1">
      <w:start w:val="1"/>
      <w:numFmt w:val="lowerLetter"/>
      <w:lvlText w:val="%2."/>
      <w:lvlJc w:val="left"/>
      <w:pPr>
        <w:ind w:left="1080" w:hanging="360"/>
      </w:pPr>
    </w:lvl>
    <w:lvl w:ilvl="2" w:tplc="1174E14E" w:tentative="1">
      <w:start w:val="1"/>
      <w:numFmt w:val="lowerRoman"/>
      <w:lvlText w:val="%3."/>
      <w:lvlJc w:val="right"/>
      <w:pPr>
        <w:ind w:left="1800" w:hanging="180"/>
      </w:pPr>
    </w:lvl>
    <w:lvl w:ilvl="3" w:tplc="2E8E86C6" w:tentative="1">
      <w:start w:val="1"/>
      <w:numFmt w:val="decimal"/>
      <w:lvlText w:val="%4."/>
      <w:lvlJc w:val="left"/>
      <w:pPr>
        <w:ind w:left="2520" w:hanging="360"/>
      </w:pPr>
    </w:lvl>
    <w:lvl w:ilvl="4" w:tplc="FEEAE5F6" w:tentative="1">
      <w:start w:val="1"/>
      <w:numFmt w:val="lowerLetter"/>
      <w:lvlText w:val="%5."/>
      <w:lvlJc w:val="left"/>
      <w:pPr>
        <w:ind w:left="3240" w:hanging="360"/>
      </w:pPr>
    </w:lvl>
    <w:lvl w:ilvl="5" w:tplc="9F9005CC" w:tentative="1">
      <w:start w:val="1"/>
      <w:numFmt w:val="lowerRoman"/>
      <w:lvlText w:val="%6."/>
      <w:lvlJc w:val="right"/>
      <w:pPr>
        <w:ind w:left="3960" w:hanging="180"/>
      </w:pPr>
    </w:lvl>
    <w:lvl w:ilvl="6" w:tplc="9D044522" w:tentative="1">
      <w:start w:val="1"/>
      <w:numFmt w:val="decimal"/>
      <w:lvlText w:val="%7."/>
      <w:lvlJc w:val="left"/>
      <w:pPr>
        <w:ind w:left="4680" w:hanging="360"/>
      </w:pPr>
    </w:lvl>
    <w:lvl w:ilvl="7" w:tplc="AB0EEA64" w:tentative="1">
      <w:start w:val="1"/>
      <w:numFmt w:val="lowerLetter"/>
      <w:lvlText w:val="%8."/>
      <w:lvlJc w:val="left"/>
      <w:pPr>
        <w:ind w:left="5400" w:hanging="360"/>
      </w:pPr>
    </w:lvl>
    <w:lvl w:ilvl="8" w:tplc="89BEC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2C0E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3E2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CC20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CE81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D67C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02C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DAC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C03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1ED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C2A601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F4F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7A2C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9A1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B023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03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02B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94FA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78E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6CC3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10BC7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254E"/>
    <w:rsid w:val="003572B4"/>
    <w:rsid w:val="00381B96"/>
    <w:rsid w:val="00383F7A"/>
    <w:rsid w:val="00393887"/>
    <w:rsid w:val="00396AF4"/>
    <w:rsid w:val="003B2BBF"/>
    <w:rsid w:val="0041584A"/>
    <w:rsid w:val="004423A4"/>
    <w:rsid w:val="00467032"/>
    <w:rsid w:val="0046754A"/>
    <w:rsid w:val="0048173D"/>
    <w:rsid w:val="00481E5F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E7F0C"/>
    <w:rsid w:val="009F1F2F"/>
    <w:rsid w:val="00A6057A"/>
    <w:rsid w:val="00A71BE1"/>
    <w:rsid w:val="00A74017"/>
    <w:rsid w:val="00A90CF2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597D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5323B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04E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49F2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0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3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f/rs/784_101_21/index.html" TargetMode="External"/><Relationship Id="rId13" Type="http://schemas.openxmlformats.org/officeDocument/2006/relationships/hyperlink" Target="https://www.ofcomnet.ch/api/RIR/0203/97f73892e9734760b11ca0281d3e44bc" TargetMode="External"/><Relationship Id="rId18" Type="http://schemas.openxmlformats.org/officeDocument/2006/relationships/hyperlink" Target="https://www.ofcomnet.ch/api/RIR/0302/ec71fb66a7564fe4b952ccfe59afc634" TargetMode="External"/><Relationship Id="rId26" Type="http://schemas.openxmlformats.org/officeDocument/2006/relationships/hyperlink" Target="https://www.ofcomnet.ch/api/RIR/0808/3fa588798f8846eeafc56a11f99f7450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ofcomnet.ch/api/RIR/0302/4695523ab97046909e8e5836231f5b5e" TargetMode="External"/><Relationship Id="rId34" Type="http://schemas.openxmlformats.org/officeDocument/2006/relationships/hyperlink" Target="https://members.wto.org/crnattachments/2019/TBT/CHE/19_3289_00_x2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eco.admin.ch" TargetMode="External"/><Relationship Id="rId12" Type="http://schemas.openxmlformats.org/officeDocument/2006/relationships/hyperlink" Target="https://www.ofcomnet.ch/api/RIR/0203/6ac148855dd44b45a5296cf1106bf230" TargetMode="External"/><Relationship Id="rId17" Type="http://schemas.openxmlformats.org/officeDocument/2006/relationships/hyperlink" Target="https://www.ofcomnet.ch/api/RIR/0302/e2a9ea1a99084219a2730c85e08d9389" TargetMode="External"/><Relationship Id="rId25" Type="http://schemas.openxmlformats.org/officeDocument/2006/relationships/hyperlink" Target="https://www.ofcomnet.ch/api/RIR/0806/119b0562c80e4e69831e0f50f3bf08dc" TargetMode="External"/><Relationship Id="rId33" Type="http://schemas.openxmlformats.org/officeDocument/2006/relationships/hyperlink" Target="https://members.wto.org/crnattachments/2019/TBT/CHE/19_3289_00_x1.pdf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ofcomnet.ch/api/RIR/0203/9b86d4af99f2436993162008f870b248" TargetMode="External"/><Relationship Id="rId20" Type="http://schemas.openxmlformats.org/officeDocument/2006/relationships/hyperlink" Target="https://www.ofcomnet.ch/api/RIR/0302/667ecd1831f2416684507ef49cc97db7" TargetMode="External"/><Relationship Id="rId29" Type="http://schemas.openxmlformats.org/officeDocument/2006/relationships/hyperlink" Target="https://www.ofcomnet.ch/api/RIR/1004/de09c626aa504804b66e8ff73af5a87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comnet.ch/api/RIR/0203/e13e7e9a978347479c3c9343ca60f9c7" TargetMode="External"/><Relationship Id="rId24" Type="http://schemas.openxmlformats.org/officeDocument/2006/relationships/hyperlink" Target="https://www.ofcomnet.ch/api/RIR/0806/9dfbf08b5c55466b879551c6a61850cb" TargetMode="External"/><Relationship Id="rId32" Type="http://schemas.openxmlformats.org/officeDocument/2006/relationships/hyperlink" Target="https://members.wto.org/crnattachments/2019/TBT/CHE/19_3289_00_f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ofcomnet.ch/api/RIR/0203/351ab0dea83d4d72b0bf9b5607a18c01" TargetMode="External"/><Relationship Id="rId23" Type="http://schemas.openxmlformats.org/officeDocument/2006/relationships/hyperlink" Target="https://www.ofcomnet.ch/api/RIR/0302/e172e97e368547daad2c49baec5bbbeb" TargetMode="External"/><Relationship Id="rId28" Type="http://schemas.openxmlformats.org/officeDocument/2006/relationships/hyperlink" Target="https://www.ofcomnet.ch/api/RIR/1003/52106d1d26ad4afc82c2e4efa0944694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dmin.ch/ch/i/rs/784_101_21/index.html" TargetMode="External"/><Relationship Id="rId19" Type="http://schemas.openxmlformats.org/officeDocument/2006/relationships/hyperlink" Target="https://www.ofcomnet.ch/api/RIR/0302/e108ed86d1a24b4d951c5280f77e5f7d" TargetMode="External"/><Relationship Id="rId31" Type="http://schemas.openxmlformats.org/officeDocument/2006/relationships/hyperlink" Target="https://www.ofcomnet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d/sr/784_101_21/index.html" TargetMode="External"/><Relationship Id="rId14" Type="http://schemas.openxmlformats.org/officeDocument/2006/relationships/hyperlink" Target="https://www.ofcomnet.ch/api/RIR/0203/a8e8fa00293c4868a4f464615b4f9507" TargetMode="External"/><Relationship Id="rId22" Type="http://schemas.openxmlformats.org/officeDocument/2006/relationships/hyperlink" Target="https://www.ofcomnet.ch/api/RIR/0302/0c478b76555548039d261f8c228eefb7" TargetMode="External"/><Relationship Id="rId27" Type="http://schemas.openxmlformats.org/officeDocument/2006/relationships/hyperlink" Target="https://www.ofcomnet.ch/api/RIR/1003/9d684a8d16d74c1a9a52baed97923218" TargetMode="External"/><Relationship Id="rId30" Type="http://schemas.openxmlformats.org/officeDocument/2006/relationships/hyperlink" Target="https://www.ofcomnet.ch/api/RIR/1010/41e69de962b444aeb4bcdee1fdc82765" TargetMode="External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573</Words>
  <Characters>3734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2019-06-06T09:31:00Z</dcterms:created>
  <dcterms:modified xsi:type="dcterms:W3CDTF">2019-06-06T13:52:00Z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G/TBT/N/CHE/238</vt:lpwstr>
  </property>
</Properties>
</file>