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20CA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20CA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D3DC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C20CA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Sciences and Economic Development</w:t>
            </w:r>
            <w:bookmarkEnd w:id="5"/>
          </w:p>
          <w:p w:rsidR="00F85C99" w:rsidRPr="002F6A28" w:rsidRDefault="00C20CA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4D3DCA" w:rsidRPr="002F6A28" w:rsidRDefault="00C20CAB" w:rsidP="00AA646C">
            <w:r w:rsidRPr="002F6A28">
              <w:t>Canada’s Notification Authority and Enquiry Point</w:t>
            </w:r>
          </w:p>
          <w:p w:rsidR="004D3DCA" w:rsidRPr="002F6A28" w:rsidRDefault="00C20CAB" w:rsidP="00AA646C">
            <w:r w:rsidRPr="002F6A28">
              <w:t>Global Affairs Canada</w:t>
            </w:r>
          </w:p>
          <w:p w:rsidR="004D3DCA" w:rsidRPr="002F6A28" w:rsidRDefault="00C20CAB" w:rsidP="00AA646C">
            <w:r w:rsidRPr="002F6A28">
              <w:t>Technical Barriers and Regulations Division</w:t>
            </w:r>
          </w:p>
          <w:p w:rsidR="004D3DCA" w:rsidRPr="002F6A28" w:rsidRDefault="00C20CAB" w:rsidP="00AA646C">
            <w:r w:rsidRPr="002F6A28">
              <w:t>111 Sussex Drive</w:t>
            </w:r>
          </w:p>
          <w:p w:rsidR="004D3DCA" w:rsidRPr="002F6A28" w:rsidRDefault="00C20CAB" w:rsidP="00AA646C">
            <w:r w:rsidRPr="002F6A28">
              <w:t>Ottawa, ON K1A 0G2</w:t>
            </w:r>
          </w:p>
          <w:p w:rsidR="004D3DCA" w:rsidRPr="002F6A28" w:rsidRDefault="00C20CAB" w:rsidP="00AA646C">
            <w:r w:rsidRPr="002F6A28">
              <w:t>Canada</w:t>
            </w:r>
          </w:p>
          <w:p w:rsidR="004D3DCA" w:rsidRPr="002F6A28" w:rsidRDefault="00C20CAB" w:rsidP="00AA646C">
            <w:r w:rsidRPr="002F6A28">
              <w:t>Telephone: (343) 203-4273</w:t>
            </w:r>
          </w:p>
          <w:p w:rsidR="004D3DCA" w:rsidRPr="002F6A28" w:rsidRDefault="00C20CAB" w:rsidP="00AA646C">
            <w:r w:rsidRPr="002F6A28">
              <w:t>Fax: (613) 943-0346</w:t>
            </w:r>
          </w:p>
          <w:p w:rsidR="00AE726C" w:rsidRPr="002F6A28" w:rsidRDefault="00C20CAB" w:rsidP="00A77439">
            <w:pPr>
              <w:spacing w:after="120"/>
            </w:pPr>
            <w:r w:rsidRPr="002F6A28">
              <w:t xml:space="preserve">Email: </w:t>
            </w:r>
            <w:hyperlink r:id="rId7" w:history="1">
              <w:r w:rsidR="00AE726C" w:rsidRPr="000F3B40">
                <w:rPr>
                  <w:rStyle w:val="Lienhypertexte"/>
                </w:rPr>
                <w:t>enquirypoint@international.gc.ca</w:t>
              </w:r>
            </w:hyperlink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20CAB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4D3DCA" w:rsidTr="00C20CAB">
        <w:trPr>
          <w:trHeight w:val="809"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Radiocommunications (ICS 33.060)</w:t>
            </w:r>
            <w:bookmarkEnd w:id="18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 xml:space="preserve">RSS-GEN, Issue 5, Amendment 1 (32 pages, available in English and French) RSS-246, Issue 1 (6 pages, available in English and French) RSS-HAC, Issue 1 (6 page(s), in English; </w:t>
            </w:r>
            <w:r w:rsidR="00AE726C" w:rsidRPr="002F6A28">
              <w:t>(6 pages, available in English and French)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A77439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Notice is hereby given by the Ministry of Innovation, Science and Economic Development Canada that the following have been published on its </w:t>
            </w:r>
            <w:r w:rsidRPr="002F6A28">
              <w:t> Web site:</w:t>
            </w:r>
          </w:p>
          <w:p w:rsidR="004D3DCA" w:rsidRPr="002F6A28" w:rsidRDefault="00C20CAB" w:rsidP="00A77439">
            <w:pPr>
              <w:numPr>
                <w:ilvl w:val="0"/>
                <w:numId w:val="19"/>
              </w:numPr>
              <w:spacing w:before="120" w:after="120"/>
              <w:ind w:left="981"/>
            </w:pPr>
            <w:r w:rsidRPr="002F6A28">
              <w:rPr>
                <w:lang w:eastAsia="en-GB"/>
              </w:rPr>
              <w:t>RSS-GEN, Issue 5, Amendment 1, General Requirements for Compliance of Radio Apparatus sets out general and certification requirements for licensed and licence-exempt radio apparatus used for radiocommunication other than broadcasting.</w:t>
            </w:r>
          </w:p>
          <w:p w:rsidR="004D3DCA" w:rsidRPr="002F6A28" w:rsidRDefault="00C20CAB" w:rsidP="00A77439">
            <w:pPr>
              <w:numPr>
                <w:ilvl w:val="0"/>
                <w:numId w:val="19"/>
              </w:numPr>
              <w:spacing w:before="120" w:after="120"/>
              <w:ind w:left="981"/>
            </w:pPr>
            <w:r w:rsidRPr="002F6A28">
              <w:rPr>
                <w:lang w:eastAsia="en-GB"/>
              </w:rPr>
              <w:t>RSS-246, Issue 1, Ultra-Low Power (ULP) Wireless Medical Capsule Endoscopy Devices Operating in the 430-440 MHz Band sets out the certification requirements for licence-exempt ultra-low power wireless medical capsule endoscopy devices operating in the 430-440 MHz frequency band.</w:t>
            </w:r>
          </w:p>
          <w:p w:rsidR="004D3DCA" w:rsidRPr="002F6A28" w:rsidRDefault="00C20CAB" w:rsidP="00A77439">
            <w:pPr>
              <w:numPr>
                <w:ilvl w:val="0"/>
                <w:numId w:val="19"/>
              </w:numPr>
              <w:spacing w:before="120" w:after="120"/>
              <w:ind w:left="981"/>
            </w:pPr>
            <w:r w:rsidRPr="002F6A28">
              <w:rPr>
                <w:lang w:eastAsia="en-GB"/>
              </w:rPr>
              <w:t>RSS-HAC, Issue 1, Hearing Aid Compatibility and Volume Control sets out the compliance requirements for hearing aid compatibility and volume control features for specific radio apparatus.</w:t>
            </w:r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A77439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rPr>
                <w:lang w:eastAsia="en-GB"/>
              </w:rPr>
              <w:t>Spectrum Management</w:t>
            </w:r>
            <w:bookmarkEnd w:id="25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AE726C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7" w:name="sps9a"/>
            <w:r w:rsidRPr="002F6A28">
              <w:rPr>
                <w:bCs/>
                <w:i/>
                <w:iCs/>
                <w:lang w:eastAsia="en-GB"/>
              </w:rPr>
              <w:t>Canada Gazette</w:t>
            </w:r>
            <w:r w:rsidRPr="002F6A28">
              <w:rPr>
                <w:bCs/>
                <w:lang w:eastAsia="en-GB"/>
              </w:rPr>
              <w:t>, Part I, 13 April 2019, (available in English and French).</w:t>
            </w:r>
            <w:bookmarkStart w:id="28" w:name="sps9b"/>
            <w:bookmarkEnd w:id="27"/>
            <w:bookmarkEnd w:id="28"/>
          </w:p>
        </w:tc>
      </w:tr>
      <w:tr w:rsidR="004D3DC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0C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0CA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28 March 2019</w:t>
            </w:r>
            <w:bookmarkStart w:id="31" w:name="sps10b"/>
            <w:bookmarkEnd w:id="30"/>
            <w:r w:rsidRPr="002F6A28">
              <w:t xml:space="preserve"> (published)</w:t>
            </w:r>
            <w:bookmarkEnd w:id="31"/>
          </w:p>
          <w:p w:rsidR="00EE3A11" w:rsidRPr="002F6A28" w:rsidRDefault="00C20CA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28 March 2019</w:t>
            </w:r>
            <w:bookmarkStart w:id="34" w:name="sps11b"/>
            <w:bookmarkEnd w:id="33"/>
            <w:bookmarkEnd w:id="34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CA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28 May 2019</w:t>
            </w:r>
            <w:bookmarkEnd w:id="36"/>
          </w:p>
        </w:tc>
      </w:tr>
      <w:tr w:rsidR="004D3DC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0C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0CA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4D3DCA" w:rsidRPr="002F6A28" w:rsidRDefault="00C20CAB" w:rsidP="00B16145">
            <w:pPr>
              <w:keepNext/>
              <w:keepLines/>
              <w:spacing w:before="120" w:after="120"/>
            </w:pPr>
            <w:r w:rsidRPr="002F6A28">
              <w:t>The electronic version of the regulatory text can be downloaded at:</w:t>
            </w:r>
          </w:p>
          <w:p w:rsidR="004D3DCA" w:rsidRPr="002F6A28" w:rsidRDefault="00FA6CCC" w:rsidP="00B16145">
            <w:pPr>
              <w:keepNext/>
              <w:keepLines/>
            </w:pPr>
            <w:hyperlink r:id="rId8" w:history="1">
              <w:r w:rsidR="00C20CAB" w:rsidRPr="002F6A28">
                <w:rPr>
                  <w:color w:val="0000FF"/>
                  <w:u w:val="single"/>
                </w:rPr>
                <w:t>http://www.gazette.gc.ca/rp-pr/p1/2019/2019-04-13/html/index-eng.html</w:t>
              </w:r>
            </w:hyperlink>
            <w:r w:rsidR="00C20CAB" w:rsidRPr="002F6A28">
              <w:t xml:space="preserve"> </w:t>
            </w:r>
          </w:p>
          <w:p w:rsidR="004D3DCA" w:rsidRPr="002F6A28" w:rsidRDefault="00FA6CCC" w:rsidP="00B16145">
            <w:pPr>
              <w:keepNext/>
              <w:keepLines/>
            </w:pPr>
            <w:hyperlink r:id="rId9" w:history="1">
              <w:r w:rsidR="00C20CAB" w:rsidRPr="002F6A28">
                <w:rPr>
                  <w:color w:val="0000FF"/>
                  <w:u w:val="single"/>
                </w:rPr>
                <w:t>http://www.gazette.gc.ca/rp-pr/p1/2019/2019-04-13/html/index-fra.html</w:t>
              </w:r>
            </w:hyperlink>
          </w:p>
          <w:p w:rsidR="004D3DCA" w:rsidRPr="002F6A28" w:rsidRDefault="00FA6CCC" w:rsidP="00B16145">
            <w:pPr>
              <w:keepNext/>
              <w:keepLines/>
            </w:pPr>
            <w:hyperlink r:id="rId10" w:history="1">
              <w:r w:rsidR="00C20CAB" w:rsidRPr="002F6A28">
                <w:rPr>
                  <w:color w:val="0000FF"/>
                  <w:u w:val="single"/>
                </w:rPr>
                <w:t>http://www.ic.gc.ca/eic/site/smt-gst.nsf/eng/sf08449.html</w:t>
              </w:r>
            </w:hyperlink>
          </w:p>
          <w:p w:rsidR="004D3DCA" w:rsidRPr="002F6A28" w:rsidRDefault="00FA6CCC" w:rsidP="00B16145">
            <w:pPr>
              <w:keepNext/>
              <w:keepLines/>
            </w:pPr>
            <w:hyperlink r:id="rId11" w:history="1">
              <w:r w:rsidR="00C20CAB" w:rsidRPr="002F6A28">
                <w:rPr>
                  <w:color w:val="0000FF"/>
                  <w:u w:val="single"/>
                </w:rPr>
                <w:t>http://www.ic.gc.ca/eic/site/smt-gst.nsf/fra/sf08449.html</w:t>
              </w:r>
            </w:hyperlink>
          </w:p>
          <w:p w:rsidR="004D3DCA" w:rsidRPr="002F6A28" w:rsidRDefault="00FA6CCC" w:rsidP="00B16145">
            <w:pPr>
              <w:keepNext/>
              <w:keepLines/>
            </w:pPr>
            <w:hyperlink r:id="rId12" w:history="1">
              <w:r w:rsidR="00C20CAB" w:rsidRPr="002F6A28">
                <w:rPr>
                  <w:color w:val="0000FF"/>
                  <w:u w:val="single"/>
                </w:rPr>
                <w:t>http://www.ic.gc.ca/eic/site/smt-gst.nsf/eng/sf11493.html</w:t>
              </w:r>
            </w:hyperlink>
          </w:p>
          <w:p w:rsidR="004D3DCA" w:rsidRPr="002F6A28" w:rsidRDefault="00FA6CCC" w:rsidP="00B16145">
            <w:pPr>
              <w:keepNext/>
              <w:keepLines/>
            </w:pPr>
            <w:hyperlink r:id="rId13" w:history="1">
              <w:r w:rsidR="00C20CAB" w:rsidRPr="002F6A28">
                <w:rPr>
                  <w:color w:val="0000FF"/>
                  <w:u w:val="single"/>
                </w:rPr>
                <w:t>http://www.ic.gc.ca/eic/site/smt-gst.nsf/fra/sf11493.html</w:t>
              </w:r>
            </w:hyperlink>
          </w:p>
          <w:p w:rsidR="004D3DCA" w:rsidRPr="002F6A28" w:rsidRDefault="00FA6CCC" w:rsidP="00B16145">
            <w:pPr>
              <w:keepNext/>
              <w:keepLines/>
            </w:pPr>
            <w:hyperlink r:id="rId14" w:history="1">
              <w:r w:rsidR="00C20CAB" w:rsidRPr="002F6A28">
                <w:rPr>
                  <w:color w:val="0000FF"/>
                  <w:u w:val="single"/>
                </w:rPr>
                <w:t>http://www.ic.gc.ca/eic/site/smt-gst.nsf/eng/sf11485.html</w:t>
              </w:r>
            </w:hyperlink>
          </w:p>
          <w:p w:rsidR="004D3DCA" w:rsidRDefault="00FA6CCC" w:rsidP="00B16145">
            <w:pPr>
              <w:keepNext/>
              <w:keepLines/>
              <w:rPr>
                <w:color w:val="0000FF"/>
                <w:u w:val="single"/>
              </w:rPr>
            </w:pPr>
            <w:hyperlink r:id="rId15" w:history="1">
              <w:r w:rsidR="00C20CAB" w:rsidRPr="002F6A28">
                <w:rPr>
                  <w:color w:val="0000FF"/>
                  <w:u w:val="single"/>
                </w:rPr>
                <w:t>http://www.ic.gc.ca/eic/site/smt-gst.nsf/fra/sf11485.html</w:t>
              </w:r>
            </w:hyperlink>
          </w:p>
          <w:p w:rsidR="00AE726C" w:rsidRPr="002F6A28" w:rsidRDefault="00AE726C" w:rsidP="00B16145">
            <w:pPr>
              <w:keepNext/>
              <w:keepLines/>
            </w:pPr>
          </w:p>
        </w:tc>
      </w:tr>
    </w:tbl>
    <w:p w:rsidR="00EE3A11" w:rsidRPr="002F6A28" w:rsidRDefault="00EE3A11" w:rsidP="002F6A28"/>
    <w:sectPr w:rsidR="00EE3A11" w:rsidRPr="002F6A28" w:rsidSect="00AE72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57" w:rsidRDefault="00C20CAB">
      <w:r>
        <w:separator/>
      </w:r>
    </w:p>
  </w:endnote>
  <w:endnote w:type="continuationSeparator" w:id="0">
    <w:p w:rsidR="00146457" w:rsidRDefault="00C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E726C" w:rsidRDefault="00AE726C" w:rsidP="00AE72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E726C" w:rsidRDefault="00AE726C" w:rsidP="00AE72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20CA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57" w:rsidRDefault="00C20CAB">
      <w:r>
        <w:separator/>
      </w:r>
    </w:p>
  </w:footnote>
  <w:footnote w:type="continuationSeparator" w:id="0">
    <w:p w:rsidR="00146457" w:rsidRDefault="00C2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26C">
      <w:t>G/TBT/N/CAN/584</w:t>
    </w:r>
  </w:p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26C">
      <w:t xml:space="preserve">- </w:t>
    </w:r>
    <w:r w:rsidRPr="00AE726C">
      <w:fldChar w:fldCharType="begin"/>
    </w:r>
    <w:r w:rsidRPr="00AE726C">
      <w:instrText xml:space="preserve"> PAGE </w:instrText>
    </w:r>
    <w:r w:rsidRPr="00AE726C">
      <w:fldChar w:fldCharType="separate"/>
    </w:r>
    <w:r w:rsidRPr="00AE726C">
      <w:rPr>
        <w:noProof/>
      </w:rPr>
      <w:t>2</w:t>
    </w:r>
    <w:r w:rsidRPr="00AE726C">
      <w:fldChar w:fldCharType="end"/>
    </w:r>
    <w:r w:rsidRPr="00AE726C">
      <w:t xml:space="preserve"> -</w:t>
    </w:r>
  </w:p>
  <w:p w:rsidR="009239F7" w:rsidRPr="00AE726C" w:rsidRDefault="009239F7" w:rsidP="00AE72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26C">
      <w:t>G/TBT/N/CAN/584</w:t>
    </w:r>
  </w:p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26C" w:rsidRPr="00AE726C" w:rsidRDefault="00AE726C" w:rsidP="00AE7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26C">
      <w:t xml:space="preserve">- </w:t>
    </w:r>
    <w:r w:rsidRPr="00AE726C">
      <w:fldChar w:fldCharType="begin"/>
    </w:r>
    <w:r w:rsidRPr="00AE726C">
      <w:instrText xml:space="preserve"> PAGE </w:instrText>
    </w:r>
    <w:r w:rsidRPr="00AE726C">
      <w:fldChar w:fldCharType="separate"/>
    </w:r>
    <w:r w:rsidRPr="00AE726C">
      <w:rPr>
        <w:noProof/>
      </w:rPr>
      <w:t>2</w:t>
    </w:r>
    <w:r w:rsidRPr="00AE726C">
      <w:fldChar w:fldCharType="end"/>
    </w:r>
    <w:r w:rsidRPr="00AE726C">
      <w:t xml:space="preserve"> -</w:t>
    </w:r>
  </w:p>
  <w:p w:rsidR="009239F7" w:rsidRPr="00AE726C" w:rsidRDefault="009239F7" w:rsidP="00AE72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3DC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E726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4D3DC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A6CC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6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D3DC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726C" w:rsidRDefault="00AE726C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G/TBT/N/CAN/584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D3DC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A6CCC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18 April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4D3DC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0CAB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A6CCC">
            <w:rPr>
              <w:color w:val="FF0000"/>
              <w:szCs w:val="16"/>
            </w:rPr>
            <w:t>19-2580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0CAB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4D3DC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E726C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E726C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English/French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16C8E"/>
    <w:multiLevelType w:val="hybridMultilevel"/>
    <w:tmpl w:val="C7F494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46A92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123AF6" w:tentative="1">
      <w:start w:val="1"/>
      <w:numFmt w:val="lowerLetter"/>
      <w:lvlText w:val="%2."/>
      <w:lvlJc w:val="left"/>
      <w:pPr>
        <w:ind w:left="1080" w:hanging="360"/>
      </w:pPr>
    </w:lvl>
    <w:lvl w:ilvl="2" w:tplc="45C4DDB0" w:tentative="1">
      <w:start w:val="1"/>
      <w:numFmt w:val="lowerRoman"/>
      <w:lvlText w:val="%3."/>
      <w:lvlJc w:val="right"/>
      <w:pPr>
        <w:ind w:left="1800" w:hanging="180"/>
      </w:pPr>
    </w:lvl>
    <w:lvl w:ilvl="3" w:tplc="6D224452" w:tentative="1">
      <w:start w:val="1"/>
      <w:numFmt w:val="decimal"/>
      <w:lvlText w:val="%4."/>
      <w:lvlJc w:val="left"/>
      <w:pPr>
        <w:ind w:left="2520" w:hanging="360"/>
      </w:pPr>
    </w:lvl>
    <w:lvl w:ilvl="4" w:tplc="638C58A2" w:tentative="1">
      <w:start w:val="1"/>
      <w:numFmt w:val="lowerLetter"/>
      <w:lvlText w:val="%5."/>
      <w:lvlJc w:val="left"/>
      <w:pPr>
        <w:ind w:left="3240" w:hanging="360"/>
      </w:pPr>
    </w:lvl>
    <w:lvl w:ilvl="5" w:tplc="A0CA08DE" w:tentative="1">
      <w:start w:val="1"/>
      <w:numFmt w:val="lowerRoman"/>
      <w:lvlText w:val="%6."/>
      <w:lvlJc w:val="right"/>
      <w:pPr>
        <w:ind w:left="3960" w:hanging="180"/>
      </w:pPr>
    </w:lvl>
    <w:lvl w:ilvl="6" w:tplc="ACF81840" w:tentative="1">
      <w:start w:val="1"/>
      <w:numFmt w:val="decimal"/>
      <w:lvlText w:val="%7."/>
      <w:lvlJc w:val="left"/>
      <w:pPr>
        <w:ind w:left="4680" w:hanging="360"/>
      </w:pPr>
    </w:lvl>
    <w:lvl w:ilvl="7" w:tplc="A670B79C" w:tentative="1">
      <w:start w:val="1"/>
      <w:numFmt w:val="lowerLetter"/>
      <w:lvlText w:val="%8."/>
      <w:lvlJc w:val="left"/>
      <w:pPr>
        <w:ind w:left="5400" w:hanging="360"/>
      </w:pPr>
    </w:lvl>
    <w:lvl w:ilvl="8" w:tplc="846E1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8A5A1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605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96DB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C8D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66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9EE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60F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22E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4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C"/>
    <w:multiLevelType w:val="hybridMultilevel"/>
    <w:tmpl w:val="63D526BC"/>
    <w:lvl w:ilvl="0" w:tplc="3FE459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07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687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82F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FCB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045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62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8F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F23D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D"/>
    <w:multiLevelType w:val="hybridMultilevel"/>
    <w:tmpl w:val="63D526BD"/>
    <w:lvl w:ilvl="0" w:tplc="D0EA5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BC1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9ED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2C5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AC55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DCBB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6B1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9AD9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167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6457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D3DCA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45B48"/>
    <w:rsid w:val="00A6057A"/>
    <w:rsid w:val="00A71BE1"/>
    <w:rsid w:val="00A74017"/>
    <w:rsid w:val="00A77439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E726C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20CAB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CC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DAF3B1"/>
  <w15:docId w15:val="{C5B132AA-B880-428C-8D4A-D0D45DF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AE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gc.ca/rp-pr/p1/2019/2019-04-13/html/index-eng.html" TargetMode="External"/><Relationship Id="rId13" Type="http://schemas.openxmlformats.org/officeDocument/2006/relationships/hyperlink" Target="http://www.ic.gc.ca/eic/site/smt-gst.nsf/fra/sf11493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yperlink" Target="http://www.ic.gc.ca/eic/site/smt-gst.nsf/eng/sf11493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gc.ca/eic/site/smt-gst.nsf/fra/sf0844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.gc.ca/eic/site/smt-gst.nsf/fra/sf1148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.gc.ca/eic/site/smt-gst.nsf/eng/sf08449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azette.gc.ca/rp-pr/p1/2019/2019-04-13/html/index-fra.html" TargetMode="External"/><Relationship Id="rId14" Type="http://schemas.openxmlformats.org/officeDocument/2006/relationships/hyperlink" Target="http://www.ic.gc.ca/eic/site/smt-gst.nsf/eng/sf11485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59</cp:revision>
  <dcterms:created xsi:type="dcterms:W3CDTF">2017-07-03T10:42:00Z</dcterms:created>
  <dcterms:modified xsi:type="dcterms:W3CDTF">2019-04-18T08:14:00Z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G/TBT/N/CAN/584</vt:lpwstr>
  </property>
</Properties>
</file>