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66F70" w:rsidP="002F6A28">
      <w:pPr>
        <w:pStyle w:val="Titre"/>
        <w:rPr>
          <w:caps w:val="0"/>
          <w:kern w:val="0"/>
        </w:rPr>
      </w:pPr>
      <w:r w:rsidRPr="002F6A28">
        <w:rPr>
          <w:caps w:val="0"/>
          <w:kern w:val="0"/>
        </w:rPr>
        <w:t>NOTIFICATION</w:t>
      </w:r>
    </w:p>
    <w:p w:rsidR="009239F7" w:rsidRPr="002F6A28" w:rsidRDefault="00D66F70"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109B9" w:rsidTr="0069259F">
        <w:tc>
          <w:tcPr>
            <w:tcW w:w="713" w:type="dxa"/>
            <w:tcBorders>
              <w:bottom w:val="single" w:sz="6" w:space="0" w:color="auto"/>
            </w:tcBorders>
            <w:shd w:val="clear" w:color="auto" w:fill="auto"/>
          </w:tcPr>
          <w:p w:rsidR="00F85C99" w:rsidRPr="002F6A28" w:rsidRDefault="00D66F7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66F7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Canada</w:t>
            </w:r>
            <w:bookmarkEnd w:id="1"/>
            <w:r w:rsidRPr="002F6A28">
              <w:t xml:space="preserve"> </w:t>
            </w:r>
          </w:p>
          <w:p w:rsidR="00F85C99" w:rsidRPr="002F6A28" w:rsidRDefault="00D66F7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109B9" w:rsidTr="0069259F">
        <w:tc>
          <w:tcPr>
            <w:tcW w:w="713" w:type="dxa"/>
            <w:tcBorders>
              <w:top w:val="single" w:sz="6" w:space="0" w:color="auto"/>
              <w:bottom w:val="single" w:sz="6" w:space="0" w:color="auto"/>
            </w:tcBorders>
            <w:shd w:val="clear" w:color="auto" w:fill="auto"/>
          </w:tcPr>
          <w:p w:rsidR="00F85C99" w:rsidRPr="002F6A28" w:rsidRDefault="00D66F7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66F7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Health</w:t>
            </w:r>
            <w:bookmarkEnd w:id="5"/>
          </w:p>
          <w:p w:rsidR="00F85C99" w:rsidRPr="002F6A28" w:rsidRDefault="00D66F7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4109B9" w:rsidRPr="002F6A28" w:rsidRDefault="00D66F70" w:rsidP="00AA646C">
            <w:r w:rsidRPr="002F6A28">
              <w:t>Canada's Notification Authority and Enquiry Point</w:t>
            </w:r>
          </w:p>
          <w:p w:rsidR="004109B9" w:rsidRPr="002F6A28" w:rsidRDefault="00D66F70" w:rsidP="00AA646C">
            <w:r w:rsidRPr="002F6A28">
              <w:t>Global Affairs Canada</w:t>
            </w:r>
          </w:p>
          <w:p w:rsidR="004109B9" w:rsidRPr="002F6A28" w:rsidRDefault="00D66F70" w:rsidP="00AA646C">
            <w:r w:rsidRPr="002F6A28">
              <w:t xml:space="preserve">Technical Barriers and Regulations Division </w:t>
            </w:r>
          </w:p>
          <w:p w:rsidR="004109B9" w:rsidRPr="002F6A28" w:rsidRDefault="00D66F70" w:rsidP="00AA646C">
            <w:r w:rsidRPr="002F6A28">
              <w:t>111 Sussex Drive, Ottawa, ON K1A 0G2</w:t>
            </w:r>
          </w:p>
          <w:p w:rsidR="004109B9" w:rsidRPr="002F6A28" w:rsidRDefault="00D66F70" w:rsidP="00AA646C">
            <w:r w:rsidRPr="002F6A28">
              <w:t xml:space="preserve">Canada </w:t>
            </w:r>
          </w:p>
          <w:p w:rsidR="004109B9" w:rsidRPr="002F6A28" w:rsidRDefault="00D66F70" w:rsidP="00AA646C">
            <w:r w:rsidRPr="002F6A28">
              <w:t>Telephone: (343)203-4273</w:t>
            </w:r>
          </w:p>
          <w:p w:rsidR="004109B9" w:rsidRPr="002F6A28" w:rsidRDefault="00D66F70" w:rsidP="00AA646C">
            <w:r w:rsidRPr="002F6A28">
              <w:t>Fax: (613)943-0346</w:t>
            </w:r>
          </w:p>
          <w:p w:rsidR="004109B9" w:rsidRPr="002F6A28" w:rsidRDefault="00D66F70" w:rsidP="00AA646C">
            <w:pPr>
              <w:spacing w:after="120"/>
            </w:pPr>
            <w:r w:rsidRPr="002F6A28">
              <w:t xml:space="preserve">E-mail: </w:t>
            </w:r>
            <w:hyperlink r:id="rId7" w:history="1">
              <w:r w:rsidRPr="00A9662F">
                <w:rPr>
                  <w:rStyle w:val="Lienhypertexte"/>
                </w:rPr>
                <w:t>enquirypoint@international.gc.ca</w:t>
              </w:r>
            </w:hyperlink>
            <w:bookmarkEnd w:id="7"/>
            <w:r>
              <w:t xml:space="preserve"> </w:t>
            </w:r>
          </w:p>
        </w:tc>
      </w:tr>
      <w:tr w:rsidR="004109B9" w:rsidTr="0069259F">
        <w:tc>
          <w:tcPr>
            <w:tcW w:w="713" w:type="dxa"/>
            <w:tcBorders>
              <w:top w:val="single" w:sz="6" w:space="0" w:color="auto"/>
              <w:bottom w:val="single" w:sz="6" w:space="0" w:color="auto"/>
            </w:tcBorders>
            <w:shd w:val="clear" w:color="auto" w:fill="auto"/>
          </w:tcPr>
          <w:p w:rsidR="00F85C99" w:rsidRPr="002F6A28" w:rsidRDefault="00D66F7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D66F7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4109B9" w:rsidTr="0069259F">
        <w:tc>
          <w:tcPr>
            <w:tcW w:w="713" w:type="dxa"/>
            <w:tcBorders>
              <w:top w:val="single" w:sz="6" w:space="0" w:color="auto"/>
              <w:bottom w:val="single" w:sz="6" w:space="0" w:color="auto"/>
            </w:tcBorders>
            <w:shd w:val="clear" w:color="auto" w:fill="auto"/>
          </w:tcPr>
          <w:p w:rsidR="00F85C99" w:rsidRPr="002F6A28" w:rsidRDefault="00D66F7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66F70"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Drug Products (ICS: 11.120)</w:t>
            </w:r>
            <w:bookmarkEnd w:id="19"/>
          </w:p>
        </w:tc>
      </w:tr>
      <w:tr w:rsidR="004109B9" w:rsidTr="0069259F">
        <w:tc>
          <w:tcPr>
            <w:tcW w:w="713" w:type="dxa"/>
            <w:tcBorders>
              <w:top w:val="single" w:sz="6" w:space="0" w:color="auto"/>
              <w:bottom w:val="single" w:sz="6" w:space="0" w:color="auto"/>
            </w:tcBorders>
            <w:shd w:val="clear" w:color="auto" w:fill="auto"/>
          </w:tcPr>
          <w:p w:rsidR="00F85C99" w:rsidRPr="002F6A28" w:rsidRDefault="00D66F7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66F70"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Regulations amending the Food and Drug Regulations (Improving Access to Generics) (24 pages, available in English and French).</w:t>
            </w:r>
            <w:bookmarkStart w:id="22" w:name="sps5c"/>
            <w:bookmarkStart w:id="23" w:name="sps5b"/>
            <w:bookmarkEnd w:id="21"/>
            <w:bookmarkEnd w:id="22"/>
            <w:bookmarkEnd w:id="23"/>
          </w:p>
        </w:tc>
      </w:tr>
      <w:tr w:rsidR="004109B9" w:rsidTr="0069259F">
        <w:tc>
          <w:tcPr>
            <w:tcW w:w="713" w:type="dxa"/>
            <w:tcBorders>
              <w:top w:val="single" w:sz="6" w:space="0" w:color="auto"/>
              <w:bottom w:val="single" w:sz="6" w:space="0" w:color="auto"/>
            </w:tcBorders>
            <w:shd w:val="clear" w:color="auto" w:fill="auto"/>
          </w:tcPr>
          <w:p w:rsidR="00F85C99" w:rsidRPr="002F6A28" w:rsidRDefault="00D66F7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66F70"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bookmarkStart w:id="25" w:name="sps6a"/>
            <w:r w:rsidRPr="002F6A28">
              <w:rPr>
                <w:lang w:eastAsia="en-GB"/>
              </w:rPr>
              <w:t>The regulatory proposal seeks to address cases where generic drug products sometimes differ from their Canadian Reference Product (CRP) (e.g., a different salt, hydrate, or solvate of the medicinal ingredient), leading to difficulties in determining whether drugs could or could not be approved via the Abbreviated New Drug Submission (ANDS) pathway. In certain cases, in both generic and brand name drugs, it is possible that there is a change in the form of a medicinal ingredient during manufacturing of a drug. This type of change is referred to as an “in-situ change.” In such cases, the form of the medicinal ingredient in the dosage form is different from the form of the “input ingredient” used in the manufacturing process (the active pharmaceutical ingredient). The regulatory proposal also suggests consequential changes to ensure the definition of  ‘new active substance’ remains aligned with the definition of ‘innovative drug’; and, the definition of ”new active substance” in the Fees in Respect of Drugs and Medical Devices Regulations remains aligned with the definition of “innovative drug” in the Food and Drug Regulations (FDR).</w:t>
            </w:r>
            <w:bookmarkEnd w:id="25"/>
          </w:p>
        </w:tc>
      </w:tr>
      <w:tr w:rsidR="004109B9" w:rsidTr="0069259F">
        <w:tc>
          <w:tcPr>
            <w:tcW w:w="713" w:type="dxa"/>
            <w:tcBorders>
              <w:top w:val="single" w:sz="6" w:space="0" w:color="auto"/>
              <w:bottom w:val="single" w:sz="6" w:space="0" w:color="auto"/>
            </w:tcBorders>
            <w:shd w:val="clear" w:color="auto" w:fill="auto"/>
          </w:tcPr>
          <w:p w:rsidR="00F85C99" w:rsidRPr="002F6A28" w:rsidRDefault="00D66F70" w:rsidP="00B958AC">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D66F70" w:rsidP="00B958AC">
            <w:pPr>
              <w:keepNext/>
              <w:keepLines/>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Pr="002F6A28">
              <w:rPr>
                <w:lang w:eastAsia="en-GB"/>
              </w:rPr>
              <w:t>The objectives of the proposed regulations include the following:</w:t>
            </w:r>
          </w:p>
          <w:p w:rsidR="004109B9" w:rsidRPr="002F6A28" w:rsidRDefault="00D66F70" w:rsidP="00B958AC">
            <w:pPr>
              <w:keepNext/>
              <w:keepLines/>
              <w:numPr>
                <w:ilvl w:val="0"/>
                <w:numId w:val="16"/>
              </w:numPr>
              <w:spacing w:before="120" w:after="120"/>
            </w:pPr>
            <w:r w:rsidRPr="002F6A28">
              <w:rPr>
                <w:lang w:eastAsia="en-GB"/>
              </w:rPr>
              <w:t>to improve the access to safe, effective and high quality generic medicines by ensuring that the FDR reflect evolving science and regulatory decision making with respect to what Health Canada considers may be acceptable as an ANDS and for which a declaration of equivalence may be issued by clarifying regulatory requirements under the ANDS pathway for generic drug products that contain different forms (e.g., different salt forms) of the medicinal ingredient in comparison to the CRP, and </w:t>
            </w:r>
          </w:p>
          <w:p w:rsidR="004109B9" w:rsidRPr="002F6A28" w:rsidRDefault="00D66F70" w:rsidP="00B958AC">
            <w:pPr>
              <w:keepNext/>
              <w:keepLines/>
              <w:numPr>
                <w:ilvl w:val="0"/>
                <w:numId w:val="16"/>
              </w:numPr>
              <w:spacing w:before="120" w:after="120"/>
            </w:pPr>
            <w:r w:rsidRPr="002F6A28">
              <w:rPr>
                <w:lang w:eastAsia="en-GB"/>
              </w:rPr>
              <w:t>to create greater consistency and transparency with respect to the labelling and the identification of the medicinal ingredient for drugs approved under Part C, Division 8 of the FDR by codifying Health Canada’s position that the labelling should declare the medicinal ingredient in the dosage form.</w:t>
            </w:r>
            <w:bookmarkEnd w:id="27"/>
          </w:p>
        </w:tc>
      </w:tr>
      <w:tr w:rsidR="004109B9" w:rsidTr="0069259F">
        <w:tc>
          <w:tcPr>
            <w:tcW w:w="713" w:type="dxa"/>
            <w:tcBorders>
              <w:top w:val="single" w:sz="6" w:space="0" w:color="auto"/>
              <w:bottom w:val="single" w:sz="6" w:space="0" w:color="auto"/>
            </w:tcBorders>
            <w:shd w:val="clear" w:color="auto" w:fill="auto"/>
          </w:tcPr>
          <w:p w:rsidR="00F85C99" w:rsidRPr="002F6A28" w:rsidRDefault="00D66F7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66F7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D66F70" w:rsidP="009E75ED">
            <w:pPr>
              <w:spacing w:before="120" w:after="120"/>
            </w:pPr>
            <w:bookmarkStart w:id="29" w:name="sps9a"/>
            <w:r w:rsidRPr="002F6A28">
              <w:rPr>
                <w:bCs/>
                <w:i/>
                <w:iCs/>
                <w:lang w:eastAsia="en-GB"/>
              </w:rPr>
              <w:t>Food and Drug Regulations:</w:t>
            </w:r>
          </w:p>
          <w:p w:rsidR="004109B9" w:rsidRPr="002F6A28" w:rsidRDefault="00427258" w:rsidP="009E75ED">
            <w:pPr>
              <w:spacing w:before="120" w:after="120"/>
              <w:rPr>
                <w:bCs/>
              </w:rPr>
            </w:pPr>
            <w:hyperlink r:id="rId8" w:history="1">
              <w:r w:rsidR="00D66F70" w:rsidRPr="002F6A28">
                <w:rPr>
                  <w:bCs/>
                  <w:color w:val="0000FF"/>
                  <w:u w:val="single"/>
                  <w:lang w:eastAsia="en-GB"/>
                </w:rPr>
                <w:t>http://laws-lois.justice.gc.ca/eng/regulations/c.r.c.,_c._870/index.html</w:t>
              </w:r>
            </w:hyperlink>
            <w:r w:rsidR="00D66F70" w:rsidRPr="002F6A28">
              <w:rPr>
                <w:bCs/>
                <w:lang w:eastAsia="en-GB"/>
              </w:rPr>
              <w:t xml:space="preserve">  (English)</w:t>
            </w:r>
          </w:p>
          <w:p w:rsidR="004109B9" w:rsidRPr="002F6A28" w:rsidRDefault="00427258" w:rsidP="009E75ED">
            <w:pPr>
              <w:spacing w:before="120" w:after="120"/>
              <w:rPr>
                <w:bCs/>
              </w:rPr>
            </w:pPr>
            <w:hyperlink r:id="rId9" w:history="1">
              <w:r w:rsidR="00D66F70" w:rsidRPr="002F6A28">
                <w:rPr>
                  <w:bCs/>
                  <w:color w:val="0000FF"/>
                  <w:u w:val="single"/>
                  <w:lang w:eastAsia="en-GB"/>
                </w:rPr>
                <w:t>http://laws-lois.justice.gc.ca/fra/reglements/C.R.C.%2C_ch._870/index.html</w:t>
              </w:r>
            </w:hyperlink>
            <w:r w:rsidR="00D66F70" w:rsidRPr="002F6A28">
              <w:rPr>
                <w:bCs/>
                <w:lang w:eastAsia="en-GB"/>
              </w:rPr>
              <w:t xml:space="preserve"> (French)</w:t>
            </w:r>
          </w:p>
          <w:p w:rsidR="004109B9" w:rsidRPr="002F6A28" w:rsidRDefault="00D66F70" w:rsidP="009E75ED">
            <w:pPr>
              <w:spacing w:before="120" w:after="120"/>
              <w:rPr>
                <w:bCs/>
              </w:rPr>
            </w:pPr>
            <w:r w:rsidRPr="002F6A28">
              <w:rPr>
                <w:bCs/>
                <w:i/>
                <w:iCs/>
                <w:lang w:eastAsia="en-GB"/>
              </w:rPr>
              <w:t>Canada Gazette</w:t>
            </w:r>
            <w:r w:rsidRPr="002F6A28">
              <w:rPr>
                <w:bCs/>
                <w:lang w:eastAsia="en-GB"/>
              </w:rPr>
              <w:t>, Part I, 30 March 2019, Pages 1283-1306 (available in English and French)</w:t>
            </w:r>
            <w:bookmarkStart w:id="30" w:name="sps9b"/>
            <w:bookmarkEnd w:id="29"/>
            <w:bookmarkEnd w:id="30"/>
          </w:p>
        </w:tc>
      </w:tr>
      <w:tr w:rsidR="004109B9" w:rsidTr="00AE6CC8">
        <w:trPr>
          <w:cantSplit/>
        </w:trPr>
        <w:tc>
          <w:tcPr>
            <w:tcW w:w="713" w:type="dxa"/>
            <w:tcBorders>
              <w:top w:val="single" w:sz="6" w:space="0" w:color="auto"/>
              <w:bottom w:val="single" w:sz="6" w:space="0" w:color="auto"/>
            </w:tcBorders>
            <w:shd w:val="clear" w:color="auto" w:fill="auto"/>
          </w:tcPr>
          <w:p w:rsidR="00EE3A11" w:rsidRPr="002F6A28" w:rsidRDefault="00D66F7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66F70"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On the date the amendments are registered, notification of registration will occur through publication in Canada Gazette, Part II, which is anticipated to be 18 months following publication in Canada Gazette, Part I.</w:t>
            </w:r>
            <w:bookmarkEnd w:id="33"/>
          </w:p>
          <w:p w:rsidR="00EE3A11" w:rsidRPr="002F6A28" w:rsidRDefault="00D66F70"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It is proposed these Regulations would come into force 90 days after the day on which they are published in the Canada Gazette, Part II.  As a transitional provision, the proposed amended definition of "innovative drug" will not apply to a drug where the New Drug Submission (NDS) or Extraordinary Use New Drug Submission (EUNDS) was filed before the coming into force. Instead, the version of the "innovative drug" definition that was in effect at the time a NDS or EUNDS was filed by the innovator is the version that applies for an "innovative drug".</w:t>
            </w:r>
            <w:bookmarkEnd w:id="36"/>
          </w:p>
        </w:tc>
      </w:tr>
      <w:tr w:rsidR="004109B9" w:rsidTr="0069259F">
        <w:tc>
          <w:tcPr>
            <w:tcW w:w="713" w:type="dxa"/>
            <w:tcBorders>
              <w:top w:val="single" w:sz="6" w:space="0" w:color="auto"/>
              <w:bottom w:val="single" w:sz="6" w:space="0" w:color="auto"/>
            </w:tcBorders>
            <w:shd w:val="clear" w:color="auto" w:fill="auto"/>
          </w:tcPr>
          <w:p w:rsidR="00F85C99" w:rsidRPr="002F6A28" w:rsidRDefault="00D66F7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66F70"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Pr="002F6A28">
              <w:rPr>
                <w:bCs/>
              </w:rPr>
              <w:t>7 June 2019</w:t>
            </w:r>
            <w:bookmarkEnd w:id="38"/>
          </w:p>
        </w:tc>
      </w:tr>
      <w:tr w:rsidR="004109B9" w:rsidTr="0069259F">
        <w:tc>
          <w:tcPr>
            <w:tcW w:w="713" w:type="dxa"/>
            <w:tcBorders>
              <w:top w:val="single" w:sz="6" w:space="0" w:color="auto"/>
            </w:tcBorders>
            <w:shd w:val="clear" w:color="auto" w:fill="auto"/>
          </w:tcPr>
          <w:p w:rsidR="00F85C99" w:rsidRPr="002F6A28" w:rsidRDefault="00D66F7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D66F7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p>
          <w:p w:rsidR="004109B9" w:rsidRPr="002F6A28" w:rsidRDefault="00D66F70" w:rsidP="00B16145">
            <w:pPr>
              <w:keepNext/>
              <w:keepLines/>
              <w:spacing w:before="120" w:after="120"/>
            </w:pPr>
            <w:r w:rsidRPr="002F6A28">
              <w:t xml:space="preserve">The electronic version of the regulatory text can be downloaded at: </w:t>
            </w:r>
          </w:p>
          <w:p w:rsidR="004109B9" w:rsidRPr="002F6A28" w:rsidRDefault="00427258" w:rsidP="00B16145">
            <w:pPr>
              <w:keepNext/>
              <w:keepLines/>
            </w:pPr>
            <w:hyperlink r:id="rId10" w:history="1">
              <w:r w:rsidR="00D66F70" w:rsidRPr="002F6A28">
                <w:rPr>
                  <w:color w:val="0000FF"/>
                  <w:u w:val="single"/>
                </w:rPr>
                <w:t>http://gazette.gc.ca/rp-pr/p1/2019/2019-03-30/html/reg2-eng.html</w:t>
              </w:r>
            </w:hyperlink>
          </w:p>
          <w:p w:rsidR="004109B9" w:rsidRPr="002F6A28" w:rsidRDefault="00427258" w:rsidP="00D66F70">
            <w:pPr>
              <w:keepNext/>
              <w:keepLines/>
              <w:spacing w:after="120"/>
            </w:pPr>
            <w:hyperlink r:id="rId11" w:history="1">
              <w:r w:rsidR="00D66F70" w:rsidRPr="002F6A28">
                <w:rPr>
                  <w:color w:val="0000FF"/>
                  <w:u w:val="single"/>
                </w:rPr>
                <w:t>http://gazette.gc.ca/rp-pr/p1/2019/2019-03-30/html/reg2-fra.html</w:t>
              </w:r>
            </w:hyperlink>
            <w:r w:rsidR="00D66F70" w:rsidRPr="002F6A28">
              <w:t xml:space="preserve"> </w:t>
            </w:r>
          </w:p>
        </w:tc>
      </w:tr>
    </w:tbl>
    <w:p w:rsidR="00EE3A11" w:rsidRPr="002F6A28" w:rsidRDefault="00EE3A11" w:rsidP="002F6A28"/>
    <w:sectPr w:rsidR="00EE3A11" w:rsidRPr="002F6A28" w:rsidSect="00D66F7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560" w:rsidRDefault="00D66F70">
      <w:r>
        <w:separator/>
      </w:r>
    </w:p>
  </w:endnote>
  <w:endnote w:type="continuationSeparator" w:id="0">
    <w:p w:rsidR="00B26560" w:rsidRDefault="00D6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66F70" w:rsidRDefault="00D66F70" w:rsidP="00D66F7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66F70" w:rsidRDefault="00D66F70" w:rsidP="00D66F7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66F7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560" w:rsidRDefault="00D66F70">
      <w:r>
        <w:separator/>
      </w:r>
    </w:p>
  </w:footnote>
  <w:footnote w:type="continuationSeparator" w:id="0">
    <w:p w:rsidR="00B26560" w:rsidRDefault="00D66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F70" w:rsidRPr="00D66F70" w:rsidRDefault="00D66F70" w:rsidP="00D66F70">
    <w:pPr>
      <w:pStyle w:val="En-tte"/>
      <w:pBdr>
        <w:bottom w:val="single" w:sz="4" w:space="1" w:color="auto"/>
      </w:pBdr>
      <w:tabs>
        <w:tab w:val="clear" w:pos="4513"/>
        <w:tab w:val="clear" w:pos="9027"/>
      </w:tabs>
      <w:jc w:val="center"/>
    </w:pPr>
    <w:r w:rsidRPr="00D66F70">
      <w:t>G/TBT/N/CAN/581</w:t>
    </w:r>
  </w:p>
  <w:p w:rsidR="00D66F70" w:rsidRPr="00D66F70" w:rsidRDefault="00D66F70" w:rsidP="00D66F70">
    <w:pPr>
      <w:pStyle w:val="En-tte"/>
      <w:pBdr>
        <w:bottom w:val="single" w:sz="4" w:space="1" w:color="auto"/>
      </w:pBdr>
      <w:tabs>
        <w:tab w:val="clear" w:pos="4513"/>
        <w:tab w:val="clear" w:pos="9027"/>
      </w:tabs>
      <w:jc w:val="center"/>
    </w:pPr>
  </w:p>
  <w:p w:rsidR="00D66F70" w:rsidRPr="00D66F70" w:rsidRDefault="00D66F70" w:rsidP="00D66F70">
    <w:pPr>
      <w:pStyle w:val="En-tte"/>
      <w:pBdr>
        <w:bottom w:val="single" w:sz="4" w:space="1" w:color="auto"/>
      </w:pBdr>
      <w:tabs>
        <w:tab w:val="clear" w:pos="4513"/>
        <w:tab w:val="clear" w:pos="9027"/>
      </w:tabs>
      <w:jc w:val="center"/>
    </w:pPr>
    <w:r w:rsidRPr="00D66F70">
      <w:t xml:space="preserve">- </w:t>
    </w:r>
    <w:r w:rsidRPr="00D66F70">
      <w:fldChar w:fldCharType="begin"/>
    </w:r>
    <w:r w:rsidRPr="00D66F70">
      <w:instrText xml:space="preserve"> PAGE </w:instrText>
    </w:r>
    <w:r w:rsidRPr="00D66F70">
      <w:fldChar w:fldCharType="separate"/>
    </w:r>
    <w:r w:rsidRPr="00D66F70">
      <w:rPr>
        <w:noProof/>
      </w:rPr>
      <w:t>2</w:t>
    </w:r>
    <w:r w:rsidRPr="00D66F70">
      <w:fldChar w:fldCharType="end"/>
    </w:r>
    <w:r w:rsidRPr="00D66F70">
      <w:t xml:space="preserve"> -</w:t>
    </w:r>
  </w:p>
  <w:p w:rsidR="009239F7" w:rsidRPr="00D66F70" w:rsidRDefault="009239F7" w:rsidP="00D66F7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F70" w:rsidRPr="00D66F70" w:rsidRDefault="00D66F70" w:rsidP="00D66F70">
    <w:pPr>
      <w:pStyle w:val="En-tte"/>
      <w:pBdr>
        <w:bottom w:val="single" w:sz="4" w:space="1" w:color="auto"/>
      </w:pBdr>
      <w:tabs>
        <w:tab w:val="clear" w:pos="4513"/>
        <w:tab w:val="clear" w:pos="9027"/>
      </w:tabs>
      <w:jc w:val="center"/>
    </w:pPr>
    <w:r w:rsidRPr="00D66F70">
      <w:t>G/TBT/N/CAN/581</w:t>
    </w:r>
  </w:p>
  <w:p w:rsidR="00D66F70" w:rsidRPr="00D66F70" w:rsidRDefault="00D66F70" w:rsidP="00D66F70">
    <w:pPr>
      <w:pStyle w:val="En-tte"/>
      <w:pBdr>
        <w:bottom w:val="single" w:sz="4" w:space="1" w:color="auto"/>
      </w:pBdr>
      <w:tabs>
        <w:tab w:val="clear" w:pos="4513"/>
        <w:tab w:val="clear" w:pos="9027"/>
      </w:tabs>
      <w:jc w:val="center"/>
    </w:pPr>
  </w:p>
  <w:p w:rsidR="00D66F70" w:rsidRPr="00D66F70" w:rsidRDefault="00D66F70" w:rsidP="00D66F70">
    <w:pPr>
      <w:pStyle w:val="En-tte"/>
      <w:pBdr>
        <w:bottom w:val="single" w:sz="4" w:space="1" w:color="auto"/>
      </w:pBdr>
      <w:tabs>
        <w:tab w:val="clear" w:pos="4513"/>
        <w:tab w:val="clear" w:pos="9027"/>
      </w:tabs>
      <w:jc w:val="center"/>
    </w:pPr>
    <w:r w:rsidRPr="00D66F70">
      <w:t xml:space="preserve">- </w:t>
    </w:r>
    <w:r w:rsidRPr="00D66F70">
      <w:fldChar w:fldCharType="begin"/>
    </w:r>
    <w:r w:rsidRPr="00D66F70">
      <w:instrText xml:space="preserve"> PAGE </w:instrText>
    </w:r>
    <w:r w:rsidRPr="00D66F70">
      <w:fldChar w:fldCharType="separate"/>
    </w:r>
    <w:r w:rsidRPr="00D66F70">
      <w:rPr>
        <w:noProof/>
      </w:rPr>
      <w:t>2</w:t>
    </w:r>
    <w:r w:rsidRPr="00D66F70">
      <w:fldChar w:fldCharType="end"/>
    </w:r>
    <w:r w:rsidRPr="00D66F70">
      <w:t xml:space="preserve"> -</w:t>
    </w:r>
  </w:p>
  <w:p w:rsidR="009239F7" w:rsidRPr="00D66F70" w:rsidRDefault="009239F7" w:rsidP="00D66F7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09B9"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D66F70" w:rsidP="00B801E9">
          <w:pPr>
            <w:jc w:val="right"/>
            <w:rPr>
              <w:b/>
              <w:color w:val="FF0000"/>
              <w:szCs w:val="16"/>
            </w:rPr>
          </w:pPr>
          <w:r>
            <w:rPr>
              <w:b/>
              <w:color w:val="FF0000"/>
              <w:szCs w:val="16"/>
            </w:rPr>
            <w:t xml:space="preserve"> </w:t>
          </w:r>
        </w:p>
      </w:tc>
    </w:tr>
    <w:bookmarkEnd w:id="42"/>
    <w:tr w:rsidR="004109B9" w:rsidTr="008612A9">
      <w:trPr>
        <w:trHeight w:val="213"/>
        <w:jc w:val="center"/>
      </w:trPr>
      <w:tc>
        <w:tcPr>
          <w:tcW w:w="3794" w:type="dxa"/>
          <w:vMerge w:val="restart"/>
          <w:shd w:val="clear" w:color="auto" w:fill="FFFFFF"/>
          <w:tcMar>
            <w:left w:w="0" w:type="dxa"/>
            <w:right w:w="0" w:type="dxa"/>
          </w:tcMar>
        </w:tcPr>
        <w:p w:rsidR="00ED54E0" w:rsidRPr="009239F7" w:rsidRDefault="00C853DD"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109B9"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D66F70" w:rsidRDefault="00D66F70" w:rsidP="00B801E9">
          <w:pPr>
            <w:jc w:val="right"/>
            <w:rPr>
              <w:b/>
              <w:szCs w:val="16"/>
            </w:rPr>
          </w:pPr>
          <w:bookmarkStart w:id="43" w:name="bmkSymbols"/>
          <w:r>
            <w:rPr>
              <w:b/>
              <w:szCs w:val="16"/>
            </w:rPr>
            <w:t>G/TBT/N/CAN/581</w:t>
          </w:r>
        </w:p>
        <w:bookmarkEnd w:id="43"/>
        <w:p w:rsidR="009239F7" w:rsidRPr="002F6A28" w:rsidRDefault="009239F7" w:rsidP="00B801E9">
          <w:pPr>
            <w:jc w:val="right"/>
            <w:rPr>
              <w:b/>
              <w:szCs w:val="16"/>
            </w:rPr>
          </w:pPr>
        </w:p>
      </w:tc>
    </w:tr>
    <w:tr w:rsidR="004109B9"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27258" w:rsidP="00B801E9">
          <w:pPr>
            <w:jc w:val="right"/>
            <w:rPr>
              <w:szCs w:val="16"/>
            </w:rPr>
          </w:pPr>
          <w:bookmarkStart w:id="44" w:name="spsDateDistribution"/>
          <w:bookmarkStart w:id="45" w:name="bmkDate"/>
          <w:bookmarkEnd w:id="44"/>
          <w:bookmarkEnd w:id="45"/>
          <w:r>
            <w:rPr>
              <w:szCs w:val="16"/>
            </w:rPr>
            <w:t xml:space="preserve">2 April </w:t>
          </w:r>
          <w:r>
            <w:rPr>
              <w:szCs w:val="16"/>
            </w:rPr>
            <w:t>2019</w:t>
          </w:r>
          <w:bookmarkStart w:id="46" w:name="_GoBack"/>
          <w:bookmarkEnd w:id="46"/>
        </w:p>
      </w:tc>
    </w:tr>
    <w:tr w:rsidR="004109B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66F70" w:rsidP="0097650D">
          <w:pPr>
            <w:jc w:val="left"/>
            <w:rPr>
              <w:b/>
            </w:rPr>
          </w:pPr>
          <w:bookmarkStart w:id="47" w:name="bmkSerial"/>
          <w:r w:rsidRPr="002F6A28">
            <w:rPr>
              <w:color w:val="FF0000"/>
              <w:szCs w:val="16"/>
            </w:rPr>
            <w:t>(</w:t>
          </w:r>
          <w:bookmarkStart w:id="48" w:name="spsSerialNumber"/>
          <w:bookmarkEnd w:id="48"/>
          <w:r w:rsidR="00427258">
            <w:rPr>
              <w:color w:val="FF0000"/>
              <w:szCs w:val="16"/>
            </w:rPr>
            <w:t>19-2067</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D66F7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109B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66F70" w:rsidP="00B801E9">
          <w:pPr>
            <w:jc w:val="left"/>
            <w:rPr>
              <w:sz w:val="14"/>
              <w:szCs w:val="16"/>
            </w:rPr>
          </w:pPr>
          <w:bookmarkStart w:id="50" w:name="bmkCommittee"/>
          <w:r>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D66F70" w:rsidP="00B801E9">
          <w:pPr>
            <w:jc w:val="right"/>
            <w:rPr>
              <w:bCs/>
              <w:szCs w:val="18"/>
            </w:rPr>
          </w:pPr>
          <w:bookmarkStart w:id="51" w:name="bmkLanguage"/>
          <w:r>
            <w:rPr>
              <w:bCs/>
              <w:szCs w:val="18"/>
            </w:rPr>
            <w:t>Original: English/French</w:t>
          </w:r>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82853D6">
      <w:start w:val="1"/>
      <w:numFmt w:val="decimal"/>
      <w:pStyle w:val="SummaryText"/>
      <w:lvlText w:val="%1."/>
      <w:lvlJc w:val="left"/>
      <w:pPr>
        <w:ind w:left="360" w:hanging="360"/>
      </w:pPr>
    </w:lvl>
    <w:lvl w:ilvl="1" w:tplc="9F0E5018" w:tentative="1">
      <w:start w:val="1"/>
      <w:numFmt w:val="lowerLetter"/>
      <w:lvlText w:val="%2."/>
      <w:lvlJc w:val="left"/>
      <w:pPr>
        <w:ind w:left="1080" w:hanging="360"/>
      </w:pPr>
    </w:lvl>
    <w:lvl w:ilvl="2" w:tplc="16AE5FD0" w:tentative="1">
      <w:start w:val="1"/>
      <w:numFmt w:val="lowerRoman"/>
      <w:lvlText w:val="%3."/>
      <w:lvlJc w:val="right"/>
      <w:pPr>
        <w:ind w:left="1800" w:hanging="180"/>
      </w:pPr>
    </w:lvl>
    <w:lvl w:ilvl="3" w:tplc="1068BB24" w:tentative="1">
      <w:start w:val="1"/>
      <w:numFmt w:val="decimal"/>
      <w:lvlText w:val="%4."/>
      <w:lvlJc w:val="left"/>
      <w:pPr>
        <w:ind w:left="2520" w:hanging="360"/>
      </w:pPr>
    </w:lvl>
    <w:lvl w:ilvl="4" w:tplc="E53A6D20" w:tentative="1">
      <w:start w:val="1"/>
      <w:numFmt w:val="lowerLetter"/>
      <w:lvlText w:val="%5."/>
      <w:lvlJc w:val="left"/>
      <w:pPr>
        <w:ind w:left="3240" w:hanging="360"/>
      </w:pPr>
    </w:lvl>
    <w:lvl w:ilvl="5" w:tplc="DA301CE8" w:tentative="1">
      <w:start w:val="1"/>
      <w:numFmt w:val="lowerRoman"/>
      <w:lvlText w:val="%6."/>
      <w:lvlJc w:val="right"/>
      <w:pPr>
        <w:ind w:left="3960" w:hanging="180"/>
      </w:pPr>
    </w:lvl>
    <w:lvl w:ilvl="6" w:tplc="6B40D8B0" w:tentative="1">
      <w:start w:val="1"/>
      <w:numFmt w:val="decimal"/>
      <w:lvlText w:val="%7."/>
      <w:lvlJc w:val="left"/>
      <w:pPr>
        <w:ind w:left="4680" w:hanging="360"/>
      </w:pPr>
    </w:lvl>
    <w:lvl w:ilvl="7" w:tplc="583422E2" w:tentative="1">
      <w:start w:val="1"/>
      <w:numFmt w:val="lowerLetter"/>
      <w:lvlText w:val="%8."/>
      <w:lvlJc w:val="left"/>
      <w:pPr>
        <w:ind w:left="5400" w:hanging="360"/>
      </w:pPr>
    </w:lvl>
    <w:lvl w:ilvl="8" w:tplc="982EA9A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D9EECF0">
      <w:start w:val="1"/>
      <w:numFmt w:val="bullet"/>
      <w:lvlText w:val=""/>
      <w:lvlJc w:val="left"/>
      <w:pPr>
        <w:ind w:left="720" w:hanging="360"/>
      </w:pPr>
      <w:rPr>
        <w:rFonts w:ascii="Symbol" w:hAnsi="Symbol"/>
      </w:rPr>
    </w:lvl>
    <w:lvl w:ilvl="1" w:tplc="418849FC">
      <w:start w:val="1"/>
      <w:numFmt w:val="bullet"/>
      <w:lvlText w:val="o"/>
      <w:lvlJc w:val="left"/>
      <w:pPr>
        <w:tabs>
          <w:tab w:val="num" w:pos="1440"/>
        </w:tabs>
        <w:ind w:left="1440" w:hanging="360"/>
      </w:pPr>
      <w:rPr>
        <w:rFonts w:ascii="Courier New" w:hAnsi="Courier New"/>
      </w:rPr>
    </w:lvl>
    <w:lvl w:ilvl="2" w:tplc="D5F6B88E">
      <w:start w:val="1"/>
      <w:numFmt w:val="bullet"/>
      <w:lvlText w:val=""/>
      <w:lvlJc w:val="left"/>
      <w:pPr>
        <w:tabs>
          <w:tab w:val="num" w:pos="2160"/>
        </w:tabs>
        <w:ind w:left="2160" w:hanging="360"/>
      </w:pPr>
      <w:rPr>
        <w:rFonts w:ascii="Wingdings" w:hAnsi="Wingdings"/>
      </w:rPr>
    </w:lvl>
    <w:lvl w:ilvl="3" w:tplc="A10E485A">
      <w:start w:val="1"/>
      <w:numFmt w:val="bullet"/>
      <w:lvlText w:val=""/>
      <w:lvlJc w:val="left"/>
      <w:pPr>
        <w:tabs>
          <w:tab w:val="num" w:pos="2880"/>
        </w:tabs>
        <w:ind w:left="2880" w:hanging="360"/>
      </w:pPr>
      <w:rPr>
        <w:rFonts w:ascii="Symbol" w:hAnsi="Symbol"/>
      </w:rPr>
    </w:lvl>
    <w:lvl w:ilvl="4" w:tplc="F8EE70BA">
      <w:start w:val="1"/>
      <w:numFmt w:val="bullet"/>
      <w:lvlText w:val="o"/>
      <w:lvlJc w:val="left"/>
      <w:pPr>
        <w:tabs>
          <w:tab w:val="num" w:pos="3600"/>
        </w:tabs>
        <w:ind w:left="3600" w:hanging="360"/>
      </w:pPr>
      <w:rPr>
        <w:rFonts w:ascii="Courier New" w:hAnsi="Courier New"/>
      </w:rPr>
    </w:lvl>
    <w:lvl w:ilvl="5" w:tplc="FEE07A3A">
      <w:start w:val="1"/>
      <w:numFmt w:val="bullet"/>
      <w:lvlText w:val=""/>
      <w:lvlJc w:val="left"/>
      <w:pPr>
        <w:tabs>
          <w:tab w:val="num" w:pos="4320"/>
        </w:tabs>
        <w:ind w:left="4320" w:hanging="360"/>
      </w:pPr>
      <w:rPr>
        <w:rFonts w:ascii="Wingdings" w:hAnsi="Wingdings"/>
      </w:rPr>
    </w:lvl>
    <w:lvl w:ilvl="6" w:tplc="806AFAE0">
      <w:start w:val="1"/>
      <w:numFmt w:val="bullet"/>
      <w:lvlText w:val=""/>
      <w:lvlJc w:val="left"/>
      <w:pPr>
        <w:tabs>
          <w:tab w:val="num" w:pos="5040"/>
        </w:tabs>
        <w:ind w:left="5040" w:hanging="360"/>
      </w:pPr>
      <w:rPr>
        <w:rFonts w:ascii="Symbol" w:hAnsi="Symbol"/>
      </w:rPr>
    </w:lvl>
    <w:lvl w:ilvl="7" w:tplc="EA185F24">
      <w:start w:val="1"/>
      <w:numFmt w:val="bullet"/>
      <w:lvlText w:val="o"/>
      <w:lvlJc w:val="left"/>
      <w:pPr>
        <w:tabs>
          <w:tab w:val="num" w:pos="5760"/>
        </w:tabs>
        <w:ind w:left="5760" w:hanging="360"/>
      </w:pPr>
      <w:rPr>
        <w:rFonts w:ascii="Courier New" w:hAnsi="Courier New"/>
      </w:rPr>
    </w:lvl>
    <w:lvl w:ilvl="8" w:tplc="4D6EC56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09B9"/>
    <w:rsid w:val="0041584A"/>
    <w:rsid w:val="00427258"/>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26560"/>
    <w:rsid w:val="00B52738"/>
    <w:rsid w:val="00B55105"/>
    <w:rsid w:val="00B56EDC"/>
    <w:rsid w:val="00B57342"/>
    <w:rsid w:val="00B6007A"/>
    <w:rsid w:val="00B7102C"/>
    <w:rsid w:val="00B801E9"/>
    <w:rsid w:val="00B958AC"/>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853DD"/>
    <w:rsid w:val="00C90C71"/>
    <w:rsid w:val="00C9136F"/>
    <w:rsid w:val="00C91E85"/>
    <w:rsid w:val="00C92E8F"/>
    <w:rsid w:val="00CB4942"/>
    <w:rsid w:val="00CC0FAD"/>
    <w:rsid w:val="00CC3256"/>
    <w:rsid w:val="00CD7D97"/>
    <w:rsid w:val="00CE3EE6"/>
    <w:rsid w:val="00CE4BA1"/>
    <w:rsid w:val="00D000C7"/>
    <w:rsid w:val="00D52A9D"/>
    <w:rsid w:val="00D55AAD"/>
    <w:rsid w:val="00D66F70"/>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9AF44"/>
  <w15:docId w15:val="{247ECC4D-7DB6-4967-962B-6D200231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D66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regulations/c.r.c.,_c._870/index.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zette.gc.ca/rp-pr/p1/2019/2019-03-30/html/reg2-fra.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gazette.gc.ca/rp-pr/p1/2019/2019-03-30/html/reg2-e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aws-lois.justice.gc.ca/fra/reglements/C.R.C.%2C_ch._870/index.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2019-04-02T10:27:00Z</dcterms:created>
  <dcterms:modified xsi:type="dcterms:W3CDTF">2019-04-02T12:28:00Z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G/TBT/N/CAN/581</vt:lpwstr>
  </property>
</Properties>
</file>