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BE988" w14:textId="77777777" w:rsidR="009239F7" w:rsidRPr="002F6A28" w:rsidRDefault="007E74A3" w:rsidP="002F6A28">
      <w:pPr>
        <w:pStyle w:val="Title"/>
        <w:rPr>
          <w:caps w:val="0"/>
          <w:kern w:val="0"/>
        </w:rPr>
      </w:pPr>
      <w:r w:rsidRPr="002F6A28">
        <w:rPr>
          <w:caps w:val="0"/>
          <w:kern w:val="0"/>
        </w:rPr>
        <w:t>NOTIFICATION</w:t>
      </w:r>
    </w:p>
    <w:p w14:paraId="7C6ACF88" w14:textId="77777777" w:rsidR="009239F7" w:rsidRPr="002F6A28" w:rsidRDefault="007E74A3" w:rsidP="002F6A28">
      <w:pPr>
        <w:jc w:val="center"/>
      </w:pPr>
      <w:r w:rsidRPr="002F6A28">
        <w:t>The following notification is being circulated in accordance with Article 10.6</w:t>
      </w:r>
    </w:p>
    <w:p w14:paraId="28A89F6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E28D6" w14:paraId="6505DB65" w14:textId="77777777" w:rsidTr="0069259F">
        <w:tc>
          <w:tcPr>
            <w:tcW w:w="713" w:type="dxa"/>
            <w:tcBorders>
              <w:bottom w:val="single" w:sz="6" w:space="0" w:color="auto"/>
            </w:tcBorders>
            <w:shd w:val="clear" w:color="auto" w:fill="auto"/>
          </w:tcPr>
          <w:p w14:paraId="67F7E3CB" w14:textId="77777777" w:rsidR="00F85C99" w:rsidRPr="002F6A28" w:rsidRDefault="007E74A3" w:rsidP="002F6A28">
            <w:pPr>
              <w:spacing w:before="120" w:after="120"/>
              <w:jc w:val="left"/>
            </w:pPr>
            <w:r w:rsidRPr="002F6A28">
              <w:rPr>
                <w:b/>
              </w:rPr>
              <w:t>1.</w:t>
            </w:r>
          </w:p>
        </w:tc>
        <w:tc>
          <w:tcPr>
            <w:tcW w:w="8546" w:type="dxa"/>
            <w:tcBorders>
              <w:bottom w:val="single" w:sz="6" w:space="0" w:color="auto"/>
            </w:tcBorders>
            <w:shd w:val="clear" w:color="auto" w:fill="auto"/>
          </w:tcPr>
          <w:p w14:paraId="2BEAD77C" w14:textId="77777777" w:rsidR="00F85C99" w:rsidRPr="002F6A28" w:rsidRDefault="007E74A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6B5989BC" w14:textId="77777777" w:rsidR="00F85C99" w:rsidRPr="002F6A28" w:rsidRDefault="007E74A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E28D6" w:rsidRPr="006C16F1" w14:paraId="785F6F1A" w14:textId="77777777" w:rsidTr="0069259F">
        <w:tc>
          <w:tcPr>
            <w:tcW w:w="713" w:type="dxa"/>
            <w:tcBorders>
              <w:top w:val="single" w:sz="6" w:space="0" w:color="auto"/>
              <w:bottom w:val="single" w:sz="6" w:space="0" w:color="auto"/>
            </w:tcBorders>
            <w:shd w:val="clear" w:color="auto" w:fill="auto"/>
          </w:tcPr>
          <w:p w14:paraId="2CBE9353" w14:textId="77777777" w:rsidR="00F85C99" w:rsidRPr="002F6A28" w:rsidRDefault="007E74A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626A4A1" w14:textId="77777777" w:rsidR="00F85C99" w:rsidRPr="002F6A28" w:rsidRDefault="007E74A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33868749" w14:textId="77777777" w:rsidR="00F85C99" w:rsidRPr="002F6A28" w:rsidRDefault="007E74A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B00CA58" w14:textId="77777777" w:rsidR="00B016DD" w:rsidRPr="00697362" w:rsidRDefault="007E74A3" w:rsidP="00AA646C">
            <w:pPr>
              <w:spacing w:after="120"/>
              <w:jc w:val="left"/>
              <w:rPr>
                <w:lang w:val="fr-CH"/>
              </w:rPr>
            </w:pPr>
            <w:r w:rsidRPr="00697362">
              <w:rPr>
                <w:lang w:val="fr-CH"/>
              </w:rPr>
              <w:t>European Commission</w:t>
            </w:r>
            <w:r w:rsidRPr="00697362">
              <w:rPr>
                <w:lang w:val="fr-CH"/>
              </w:rPr>
              <w:br/>
              <w:t>EU-TBT Enquiry Point</w:t>
            </w:r>
            <w:r w:rsidRPr="00697362">
              <w:rPr>
                <w:lang w:val="fr-CH"/>
              </w:rPr>
              <w:br/>
              <w:t>Fax: +(32) 2 299 80 43</w:t>
            </w:r>
            <w:r w:rsidRPr="00697362">
              <w:rPr>
                <w:lang w:val="fr-CH"/>
              </w:rPr>
              <w:br/>
              <w:t xml:space="preserve">E-mail: </w:t>
            </w:r>
            <w:hyperlink r:id="rId7" w:history="1">
              <w:r w:rsidRPr="00697362">
                <w:rPr>
                  <w:color w:val="0000FF"/>
                  <w:u w:val="single"/>
                  <w:lang w:val="fr-CH"/>
                </w:rPr>
                <w:t>grow-eu-tbt@ec.europa.eu</w:t>
              </w:r>
            </w:hyperlink>
            <w:r w:rsidRPr="00697362">
              <w:rPr>
                <w:lang w:val="fr-CH"/>
              </w:rPr>
              <w:br/>
              <w:t xml:space="preserve">Website: </w:t>
            </w:r>
            <w:hyperlink r:id="rId8" w:history="1">
              <w:r w:rsidRPr="00697362">
                <w:rPr>
                  <w:color w:val="0000FF"/>
                  <w:u w:val="single"/>
                  <w:lang w:val="fr-CH"/>
                </w:rPr>
                <w:t>http://ec.europa.eu/growth/tools-databases/tbt/en/</w:t>
              </w:r>
            </w:hyperlink>
            <w:r w:rsidRPr="00697362">
              <w:rPr>
                <w:lang w:val="fr-CH"/>
              </w:rPr>
              <w:t xml:space="preserve"> </w:t>
            </w:r>
            <w:bookmarkEnd w:id="7"/>
          </w:p>
        </w:tc>
      </w:tr>
      <w:tr w:rsidR="001E28D6" w14:paraId="5D04974E" w14:textId="77777777" w:rsidTr="0069259F">
        <w:tc>
          <w:tcPr>
            <w:tcW w:w="713" w:type="dxa"/>
            <w:tcBorders>
              <w:top w:val="single" w:sz="6" w:space="0" w:color="auto"/>
              <w:bottom w:val="single" w:sz="6" w:space="0" w:color="auto"/>
            </w:tcBorders>
            <w:shd w:val="clear" w:color="auto" w:fill="auto"/>
          </w:tcPr>
          <w:p w14:paraId="0036302F" w14:textId="77777777" w:rsidR="00F85C99" w:rsidRPr="002F6A28" w:rsidRDefault="007E74A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9E338BE" w14:textId="77777777" w:rsidR="00F85C99" w:rsidRPr="0058336F" w:rsidRDefault="007E74A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1E28D6" w14:paraId="54E9E000" w14:textId="77777777" w:rsidTr="0069259F">
        <w:tc>
          <w:tcPr>
            <w:tcW w:w="713" w:type="dxa"/>
            <w:tcBorders>
              <w:top w:val="single" w:sz="6" w:space="0" w:color="auto"/>
              <w:bottom w:val="single" w:sz="6" w:space="0" w:color="auto"/>
            </w:tcBorders>
            <w:shd w:val="clear" w:color="auto" w:fill="auto"/>
          </w:tcPr>
          <w:p w14:paraId="142D821A" w14:textId="77777777" w:rsidR="00F85C99" w:rsidRPr="002F6A28" w:rsidRDefault="007E74A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0E4CF1A" w14:textId="77777777" w:rsidR="00F85C99" w:rsidRPr="002F6A28" w:rsidRDefault="007E74A3"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Vehicles and their trailers (M-, N- and O-category vehicles), and systems, components and separate technical units intended for such vehicles.</w:t>
            </w:r>
            <w:bookmarkStart w:id="20" w:name="sps3a"/>
            <w:bookmarkEnd w:id="20"/>
          </w:p>
        </w:tc>
      </w:tr>
      <w:tr w:rsidR="001E28D6" w14:paraId="3D768D8D" w14:textId="77777777" w:rsidTr="0069259F">
        <w:tc>
          <w:tcPr>
            <w:tcW w:w="713" w:type="dxa"/>
            <w:tcBorders>
              <w:top w:val="single" w:sz="6" w:space="0" w:color="auto"/>
              <w:bottom w:val="single" w:sz="6" w:space="0" w:color="auto"/>
            </w:tcBorders>
            <w:shd w:val="clear" w:color="auto" w:fill="auto"/>
          </w:tcPr>
          <w:p w14:paraId="2B434BC0" w14:textId="77777777" w:rsidR="00F85C99" w:rsidRPr="002F6A28" w:rsidRDefault="007E74A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FBDBFDE" w14:textId="77777777" w:rsidR="00F85C99" w:rsidRPr="002F6A28" w:rsidRDefault="007E74A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Implementing Regulation laying down rules on the online data exchange and the notification of EU type-approvals under Regulation (EU) 2018/858 of the European Parliament and of the Council (6 page(s), in English)</w:t>
            </w:r>
            <w:bookmarkStart w:id="22" w:name="sps5a"/>
            <w:bookmarkStart w:id="23" w:name="sps5c"/>
            <w:bookmarkStart w:id="24" w:name="sps5b"/>
            <w:bookmarkEnd w:id="22"/>
            <w:bookmarkEnd w:id="23"/>
            <w:bookmarkEnd w:id="24"/>
          </w:p>
        </w:tc>
      </w:tr>
      <w:tr w:rsidR="001E28D6" w14:paraId="4D74C33B" w14:textId="77777777" w:rsidTr="0069259F">
        <w:tc>
          <w:tcPr>
            <w:tcW w:w="713" w:type="dxa"/>
            <w:tcBorders>
              <w:top w:val="single" w:sz="6" w:space="0" w:color="auto"/>
              <w:bottom w:val="single" w:sz="6" w:space="0" w:color="auto"/>
            </w:tcBorders>
            <w:shd w:val="clear" w:color="auto" w:fill="auto"/>
          </w:tcPr>
          <w:p w14:paraId="08213544" w14:textId="77777777" w:rsidR="00F85C99" w:rsidRPr="002F6A28" w:rsidRDefault="007E74A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D051969" w14:textId="77777777" w:rsidR="00F85C99" w:rsidRPr="002F6A28" w:rsidRDefault="007E74A3"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enclosed draft implementing act lays down the administrative requirements for the online data exchange of EU type-approvals, granted, amended, refused or withdrawn as well as a list of the technical services which have performed the tests for the respective EU type-approvals under the framework Regulation (EU) 2018/858.</w:t>
            </w:r>
          </w:p>
          <w:p w14:paraId="47ACDBB0" w14:textId="77777777" w:rsidR="00FE448B" w:rsidRPr="00C379C8" w:rsidRDefault="007E74A3" w:rsidP="002F6A28">
            <w:pPr>
              <w:spacing w:after="120"/>
            </w:pPr>
            <w:r w:rsidRPr="00C379C8">
              <w:t>These amendments ensure that type-approval authorities use a harmonised exchange mechanism for EU type-approval certificates and their attachments, and make a list of EU type-approvals publicly available.</w:t>
            </w:r>
          </w:p>
        </w:tc>
      </w:tr>
      <w:tr w:rsidR="001E28D6" w14:paraId="6EC2A81E" w14:textId="77777777" w:rsidTr="0069259F">
        <w:tc>
          <w:tcPr>
            <w:tcW w:w="713" w:type="dxa"/>
            <w:tcBorders>
              <w:top w:val="single" w:sz="6" w:space="0" w:color="auto"/>
              <w:bottom w:val="single" w:sz="6" w:space="0" w:color="auto"/>
            </w:tcBorders>
            <w:shd w:val="clear" w:color="auto" w:fill="auto"/>
          </w:tcPr>
          <w:p w14:paraId="1372958A" w14:textId="77777777" w:rsidR="00F85C99" w:rsidRPr="002F6A28" w:rsidRDefault="007E74A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DDF8036" w14:textId="77777777" w:rsidR="00697362" w:rsidRDefault="007E74A3" w:rsidP="002F6A28">
            <w:pPr>
              <w:spacing w:before="120" w:after="120"/>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Regulation (EU) No 2018/858 sets out general requirements on the approval and market surveillance of motor vehicles and their trailers (M-, N- and O-category vehicles) and of systems, components and separate technical units intended for such vehicles, amending Regulations (EC) No 715/2007 and (EC) No 595/2009 and repealing Directive 2007/46/EC. </w:t>
            </w:r>
          </w:p>
          <w:p w14:paraId="7246707B" w14:textId="77777777" w:rsidR="00697362" w:rsidRDefault="007E74A3" w:rsidP="002F6A28">
            <w:pPr>
              <w:spacing w:before="120" w:after="120"/>
            </w:pPr>
            <w:r w:rsidRPr="00C379C8">
              <w:t xml:space="preserve">Based on the empowerments in Regulation (EU) 2018/858, the Commission laid down in detail the administrative provisions and templates for the type-approval and market surveillance of M-, N- and O-category vehicles. </w:t>
            </w:r>
          </w:p>
          <w:p w14:paraId="135608DC" w14:textId="77777777" w:rsidR="00697362" w:rsidRDefault="007E74A3" w:rsidP="002F6A28">
            <w:pPr>
              <w:spacing w:before="120" w:after="120"/>
            </w:pPr>
            <w:r w:rsidRPr="00C379C8">
              <w:lastRenderedPageBreak/>
              <w:t xml:space="preserve">Regulation (EU) 2018/858 was published in the EU Official Journal in June 2018. The administrative requirements for online data exchange of EU type-approvals were not included in the final adopted version of the framework Regulation (EU) 2018/858. </w:t>
            </w:r>
          </w:p>
          <w:p w14:paraId="669EA23B" w14:textId="77777777" w:rsidR="00F85C99" w:rsidRPr="002F6A28" w:rsidRDefault="007E74A3" w:rsidP="002F6A28">
            <w:pPr>
              <w:spacing w:before="120" w:after="120"/>
              <w:rPr>
                <w:b/>
              </w:rPr>
            </w:pPr>
            <w:r w:rsidRPr="00C379C8">
              <w:t>This implementing act of an administrative nature is necessary for the regular implementation of Regulation (EU) 2018/858. The online data exchange of type-approval information between EU Member States is already a common way of working and some Member States already made this information publicly available</w:t>
            </w:r>
            <w:bookmarkStart w:id="27" w:name="sps7f"/>
            <w:bookmarkEnd w:id="27"/>
            <w:r w:rsidR="00697362">
              <w:t>.</w:t>
            </w:r>
          </w:p>
        </w:tc>
      </w:tr>
      <w:tr w:rsidR="001E28D6" w14:paraId="3F4087FC" w14:textId="77777777" w:rsidTr="0069259F">
        <w:tc>
          <w:tcPr>
            <w:tcW w:w="713" w:type="dxa"/>
            <w:tcBorders>
              <w:top w:val="single" w:sz="6" w:space="0" w:color="auto"/>
              <w:bottom w:val="single" w:sz="6" w:space="0" w:color="auto"/>
            </w:tcBorders>
            <w:shd w:val="clear" w:color="auto" w:fill="auto"/>
          </w:tcPr>
          <w:p w14:paraId="3CB87C50" w14:textId="77777777" w:rsidR="00F85C99" w:rsidRPr="002F6A28" w:rsidRDefault="007E74A3"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0C85D4D2" w14:textId="77777777" w:rsidR="00072B36" w:rsidRPr="002F6A28" w:rsidRDefault="007E74A3"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054221E8" w14:textId="77777777" w:rsidR="00B016DD" w:rsidRPr="002F6A28" w:rsidRDefault="007E74A3" w:rsidP="00697362">
            <w:pPr>
              <w:numPr>
                <w:ilvl w:val="0"/>
                <w:numId w:val="16"/>
              </w:numPr>
              <w:spacing w:before="120" w:after="120"/>
              <w:rPr>
                <w:bCs/>
              </w:rPr>
            </w:pPr>
            <w:r w:rsidRPr="002F6A28">
              <w:rPr>
                <w:bCs/>
              </w:rPr>
              <w:t>Regulation (EU) No 2018/858 of the European Parliament and of the Council of 30</w:t>
            </w:r>
            <w:r>
              <w:rPr>
                <w:bCs/>
              </w:rPr>
              <w:t> </w:t>
            </w:r>
            <w:r w:rsidRPr="002F6A28">
              <w:rPr>
                <w:bCs/>
              </w:rPr>
              <w:t>May 2018 on the approval and market surveillance of motor vehicles and their trailers, and of systems, components and separate technical units intended for such vehicles, amending Regulations (EC) No 715/2007 and (EC) No 595/2009 and repealing Directive 2007/46/EC.</w:t>
            </w:r>
          </w:p>
          <w:p w14:paraId="551B7BCD" w14:textId="77777777" w:rsidR="00B016DD" w:rsidRPr="002F6A28" w:rsidRDefault="006C16F1" w:rsidP="00697362">
            <w:pPr>
              <w:spacing w:after="120"/>
              <w:rPr>
                <w:bCs/>
              </w:rPr>
            </w:pPr>
            <w:hyperlink r:id="rId9" w:history="1">
              <w:r w:rsidR="007E74A3" w:rsidRPr="002F6A28">
                <w:rPr>
                  <w:bCs/>
                  <w:color w:val="0000FF"/>
                  <w:u w:val="single"/>
                </w:rPr>
                <w:t>https://eur-lex.europa.eu/legal-content/EN/TXT/PDF/?uri=CELEX:32018R0858&amp;from=EN</w:t>
              </w:r>
            </w:hyperlink>
            <w:r w:rsidR="007E74A3" w:rsidRPr="002F6A28">
              <w:rPr>
                <w:bCs/>
              </w:rPr>
              <w:t xml:space="preserve"> </w:t>
            </w:r>
          </w:p>
          <w:p w14:paraId="1A693BFF" w14:textId="77777777" w:rsidR="00B016DD" w:rsidRPr="002F6A28" w:rsidRDefault="007E74A3" w:rsidP="00697362">
            <w:pPr>
              <w:numPr>
                <w:ilvl w:val="0"/>
                <w:numId w:val="17"/>
              </w:numPr>
              <w:spacing w:before="120" w:after="120"/>
              <w:rPr>
                <w:bCs/>
              </w:rPr>
            </w:pPr>
            <w:r w:rsidRPr="002F6A28">
              <w:rPr>
                <w:bCs/>
              </w:rPr>
              <w:t xml:space="preserve">Directive 2007/46 EC of the European Parliament and of the Council of </w:t>
            </w:r>
            <w:r w:rsidRPr="00697362">
              <w:t>5</w:t>
            </w:r>
            <w:r>
              <w:t> </w:t>
            </w:r>
            <w:r w:rsidRPr="00697362">
              <w:t>September</w:t>
            </w:r>
            <w:r>
              <w:rPr>
                <w:bCs/>
              </w:rPr>
              <w:t> </w:t>
            </w:r>
            <w:r w:rsidRPr="002F6A28">
              <w:rPr>
                <w:bCs/>
              </w:rPr>
              <w:t>2007 establishing a framework for the approval of motor vehicles and their trailers, and of systems, components and separate technical units intended for such vehicles.</w:t>
            </w:r>
          </w:p>
          <w:p w14:paraId="522F54EA" w14:textId="77777777" w:rsidR="00B016DD" w:rsidRPr="002F6A28" w:rsidRDefault="006C16F1" w:rsidP="00697362">
            <w:pPr>
              <w:spacing w:after="120"/>
              <w:rPr>
                <w:bCs/>
              </w:rPr>
            </w:pPr>
            <w:hyperlink r:id="rId10" w:history="1">
              <w:r w:rsidR="007E74A3" w:rsidRPr="002F6A28">
                <w:rPr>
                  <w:bCs/>
                  <w:color w:val="0000FF"/>
                  <w:u w:val="single"/>
                </w:rPr>
                <w:t>https://eur-lex.europa.eu/legal-content/EN/TXT/PDF/?uri=CELEX:32007L0046&amp;from=EN</w:t>
              </w:r>
            </w:hyperlink>
          </w:p>
          <w:p w14:paraId="7CD98672" w14:textId="77777777" w:rsidR="00B016DD" w:rsidRPr="002F6A28" w:rsidRDefault="007E74A3" w:rsidP="00697362">
            <w:pPr>
              <w:numPr>
                <w:ilvl w:val="0"/>
                <w:numId w:val="18"/>
              </w:numPr>
              <w:spacing w:before="120" w:after="120"/>
              <w:rPr>
                <w:bCs/>
              </w:rPr>
            </w:pPr>
            <w:r w:rsidRPr="002F6A28">
              <w:rPr>
                <w:bCs/>
              </w:rPr>
              <w:t>Regulation (EC) No 715/2007 of the European Parliament and of the Council of 20</w:t>
            </w:r>
            <w:r>
              <w:rPr>
                <w:bCs/>
              </w:rPr>
              <w:t> </w:t>
            </w:r>
            <w:r w:rsidRPr="002F6A28">
              <w:rPr>
                <w:bCs/>
              </w:rPr>
              <w:t>June 2007 on type approval of motor vehicles with respect to emissions from light passenger and commercial vehicles (Euro 5 and Euro 6) and on access to vehicle repair and maintenance information.</w:t>
            </w:r>
          </w:p>
          <w:p w14:paraId="4007C3C4" w14:textId="77777777" w:rsidR="00B016DD" w:rsidRPr="002F6A28" w:rsidRDefault="006C16F1" w:rsidP="00697362">
            <w:pPr>
              <w:spacing w:after="120"/>
              <w:rPr>
                <w:bCs/>
              </w:rPr>
            </w:pPr>
            <w:hyperlink r:id="rId11" w:history="1">
              <w:r w:rsidR="007E74A3" w:rsidRPr="002F6A28">
                <w:rPr>
                  <w:bCs/>
                  <w:color w:val="0000FF"/>
                  <w:u w:val="single"/>
                </w:rPr>
                <w:t>https://eur-lex.europa.eu/legal-content/EN/TXT/PDF/?uri=CELEX:32007R0715&amp;from=EN</w:t>
              </w:r>
            </w:hyperlink>
            <w:r w:rsidR="007E74A3" w:rsidRPr="002F6A28">
              <w:rPr>
                <w:bCs/>
              </w:rPr>
              <w:t xml:space="preserve"> </w:t>
            </w:r>
          </w:p>
          <w:p w14:paraId="04EE15E4" w14:textId="77777777" w:rsidR="00697362" w:rsidRDefault="007E74A3" w:rsidP="00697362">
            <w:pPr>
              <w:numPr>
                <w:ilvl w:val="0"/>
                <w:numId w:val="19"/>
              </w:numPr>
              <w:spacing w:before="120" w:after="120"/>
              <w:rPr>
                <w:bCs/>
              </w:rPr>
            </w:pPr>
            <w:r w:rsidRPr="002F6A28">
              <w:rPr>
                <w:bCs/>
              </w:rPr>
              <w:t>Regulation (EC) No 595/2009 of the European Parliament and of the Council of 18</w:t>
            </w:r>
            <w:r>
              <w:rPr>
                <w:bCs/>
              </w:rPr>
              <w:t> </w:t>
            </w:r>
            <w:r w:rsidRPr="002F6A28">
              <w:rPr>
                <w:bCs/>
              </w:rPr>
              <w:t>June 2009 on type-approval of motor vehicles and engines with respect to emissions from heavy duty vehicles (Euro VI) and on access to vehicle repair and maintenance information.</w:t>
            </w:r>
          </w:p>
          <w:p w14:paraId="3CCA7D95" w14:textId="77777777" w:rsidR="00B016DD" w:rsidRPr="00697362" w:rsidRDefault="006C16F1" w:rsidP="00697362">
            <w:pPr>
              <w:spacing w:before="120" w:after="120"/>
              <w:rPr>
                <w:bCs/>
              </w:rPr>
            </w:pPr>
            <w:hyperlink r:id="rId12" w:history="1">
              <w:r w:rsidR="007E74A3" w:rsidRPr="00697362">
                <w:rPr>
                  <w:bCs/>
                  <w:color w:val="0000FF"/>
                  <w:u w:val="single"/>
                </w:rPr>
                <w:t>https://eur-lex.europa.eu/legal-content/EN/TXT/PDF/?uri=CELEX:32009R0595&amp;from=EN</w:t>
              </w:r>
            </w:hyperlink>
            <w:r w:rsidR="007E74A3" w:rsidRPr="00697362">
              <w:rPr>
                <w:bCs/>
              </w:rPr>
              <w:t xml:space="preserve"> </w:t>
            </w:r>
          </w:p>
        </w:tc>
      </w:tr>
      <w:tr w:rsidR="001E28D6" w14:paraId="2E25155F" w14:textId="77777777" w:rsidTr="00AE6CC8">
        <w:trPr>
          <w:cantSplit/>
        </w:trPr>
        <w:tc>
          <w:tcPr>
            <w:tcW w:w="713" w:type="dxa"/>
            <w:tcBorders>
              <w:top w:val="single" w:sz="6" w:space="0" w:color="auto"/>
              <w:bottom w:val="single" w:sz="6" w:space="0" w:color="auto"/>
            </w:tcBorders>
            <w:shd w:val="clear" w:color="auto" w:fill="auto"/>
          </w:tcPr>
          <w:p w14:paraId="29AD93A2" w14:textId="77777777" w:rsidR="00EE3A11" w:rsidRPr="002F6A28" w:rsidRDefault="007E74A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3057377" w14:textId="77777777" w:rsidR="00EE3A11" w:rsidRPr="002F6A28" w:rsidRDefault="007E74A3"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November 2020</w:t>
            </w:r>
            <w:bookmarkEnd w:id="31"/>
          </w:p>
          <w:p w14:paraId="032B45E5" w14:textId="77777777" w:rsidR="00EE3A11" w:rsidRPr="002F6A28" w:rsidRDefault="007E74A3"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December 2020 </w:t>
            </w:r>
            <w:bookmarkEnd w:id="34"/>
          </w:p>
        </w:tc>
      </w:tr>
      <w:tr w:rsidR="001E28D6" w14:paraId="40200AF8" w14:textId="77777777" w:rsidTr="0069259F">
        <w:tc>
          <w:tcPr>
            <w:tcW w:w="713" w:type="dxa"/>
            <w:tcBorders>
              <w:top w:val="single" w:sz="6" w:space="0" w:color="auto"/>
              <w:bottom w:val="single" w:sz="6" w:space="0" w:color="auto"/>
            </w:tcBorders>
            <w:shd w:val="clear" w:color="auto" w:fill="auto"/>
          </w:tcPr>
          <w:p w14:paraId="5FB1AA4F" w14:textId="77777777" w:rsidR="00F85C99" w:rsidRPr="002F6A28" w:rsidRDefault="007E74A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DDF71DD" w14:textId="77777777" w:rsidR="00F85C99" w:rsidRPr="002F6A28" w:rsidRDefault="007E74A3"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1E28D6" w14:paraId="69AC9654" w14:textId="77777777" w:rsidTr="0069259F">
        <w:tc>
          <w:tcPr>
            <w:tcW w:w="713" w:type="dxa"/>
            <w:tcBorders>
              <w:top w:val="single" w:sz="6" w:space="0" w:color="auto"/>
            </w:tcBorders>
            <w:shd w:val="clear" w:color="auto" w:fill="auto"/>
          </w:tcPr>
          <w:p w14:paraId="2851A436" w14:textId="77777777" w:rsidR="00F85C99" w:rsidRPr="002F6A28" w:rsidRDefault="007E74A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F157678" w14:textId="77777777" w:rsidR="00F85C99" w:rsidRPr="002F6A28" w:rsidRDefault="007E74A3"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56EC50A" w14:textId="77777777" w:rsidR="00697362" w:rsidRDefault="007E74A3"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3" w:history="1">
              <w:r w:rsidRPr="002F6A28">
                <w:rPr>
                  <w:color w:val="0000FF"/>
                  <w:u w:val="single"/>
                </w:rPr>
                <w:t>grow-eu-tbt@ec.europa.eu</w:t>
              </w:r>
            </w:hyperlink>
            <w:r w:rsidRPr="002F6A28">
              <w:br/>
              <w:t xml:space="preserve">The text is available on the EU-TBT Website: </w:t>
            </w:r>
            <w:hyperlink r:id="rId14" w:history="1">
              <w:r w:rsidRPr="002F6A28">
                <w:rPr>
                  <w:color w:val="0000FF"/>
                  <w:u w:val="single"/>
                </w:rPr>
                <w:t>http://ec.europa.eu/growth/tools-databases/tbt/en/</w:t>
              </w:r>
            </w:hyperlink>
          </w:p>
          <w:p w14:paraId="1589FC9B" w14:textId="77777777" w:rsidR="00B016DD" w:rsidRPr="002F6A28" w:rsidRDefault="006C16F1" w:rsidP="00B16145">
            <w:pPr>
              <w:keepNext/>
              <w:keepLines/>
              <w:spacing w:before="120" w:after="120"/>
            </w:pPr>
            <w:hyperlink r:id="rId15" w:history="1">
              <w:r w:rsidR="007E74A3" w:rsidRPr="002F6A28">
                <w:rPr>
                  <w:color w:val="0000FF"/>
                  <w:u w:val="single"/>
                </w:rPr>
                <w:t>https://members.wto.org/crnattachments/2020/TBT/EEC/20_4185_00_e.pdf</w:t>
              </w:r>
            </w:hyperlink>
            <w:bookmarkEnd w:id="40"/>
          </w:p>
        </w:tc>
      </w:tr>
    </w:tbl>
    <w:p w14:paraId="1D10146C" w14:textId="77777777" w:rsidR="00EE3A11" w:rsidRPr="002F6A28" w:rsidRDefault="00EE3A11" w:rsidP="002F6A28"/>
    <w:sectPr w:rsidR="00EE3A11" w:rsidRPr="002F6A28" w:rsidSect="00760DB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BC364" w14:textId="77777777" w:rsidR="00BB6319" w:rsidRDefault="007E74A3">
      <w:r>
        <w:separator/>
      </w:r>
    </w:p>
  </w:endnote>
  <w:endnote w:type="continuationSeparator" w:id="0">
    <w:p w14:paraId="52BC07B5" w14:textId="77777777" w:rsidR="00BB6319" w:rsidRDefault="007E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8146D" w14:textId="77777777" w:rsidR="009239F7" w:rsidRPr="002F6A28" w:rsidRDefault="007E74A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1493" w14:textId="77777777" w:rsidR="009239F7" w:rsidRPr="002F6A28" w:rsidRDefault="007E74A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8040" w14:textId="77777777" w:rsidR="00EE3A11" w:rsidRPr="002F6A28" w:rsidRDefault="007E74A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715B9" w14:textId="77777777" w:rsidR="00BB6319" w:rsidRDefault="007E74A3">
      <w:r>
        <w:separator/>
      </w:r>
    </w:p>
  </w:footnote>
  <w:footnote w:type="continuationSeparator" w:id="0">
    <w:p w14:paraId="6BB2153C" w14:textId="77777777" w:rsidR="00BB6319" w:rsidRDefault="007E7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632BC" w14:textId="77777777" w:rsidR="009239F7" w:rsidRPr="002F6A28" w:rsidRDefault="007E74A3" w:rsidP="009239F7">
    <w:pPr>
      <w:pStyle w:val="Header"/>
      <w:pBdr>
        <w:bottom w:val="single" w:sz="4" w:space="1" w:color="auto"/>
      </w:pBdr>
      <w:tabs>
        <w:tab w:val="clear" w:pos="4513"/>
        <w:tab w:val="clear" w:pos="9027"/>
      </w:tabs>
      <w:jc w:val="center"/>
    </w:pPr>
    <w:r w:rsidRPr="002F6A28">
      <w:t>tbtSymbol</w:t>
    </w:r>
  </w:p>
  <w:p w14:paraId="671545DD" w14:textId="77777777" w:rsidR="009239F7" w:rsidRPr="002F6A28" w:rsidRDefault="009239F7" w:rsidP="009239F7">
    <w:pPr>
      <w:pStyle w:val="Header"/>
      <w:pBdr>
        <w:bottom w:val="single" w:sz="4" w:space="1" w:color="auto"/>
      </w:pBdr>
      <w:tabs>
        <w:tab w:val="clear" w:pos="4513"/>
        <w:tab w:val="clear" w:pos="9027"/>
      </w:tabs>
      <w:jc w:val="center"/>
    </w:pPr>
  </w:p>
  <w:p w14:paraId="36261AF5" w14:textId="77777777" w:rsidR="009239F7" w:rsidRPr="002F6A28" w:rsidRDefault="007E74A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EE5038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F98F" w14:textId="77777777" w:rsidR="009239F7" w:rsidRPr="002F6A28" w:rsidRDefault="007E74A3" w:rsidP="009239F7">
    <w:pPr>
      <w:pStyle w:val="Header"/>
      <w:pBdr>
        <w:bottom w:val="single" w:sz="4" w:space="1" w:color="auto"/>
      </w:pBdr>
      <w:tabs>
        <w:tab w:val="clear" w:pos="4513"/>
        <w:tab w:val="clear" w:pos="9027"/>
      </w:tabs>
      <w:jc w:val="center"/>
    </w:pPr>
    <w:bookmarkStart w:id="41" w:name="spsSymbolHeader"/>
    <w:r w:rsidRPr="002F6A28">
      <w:t>G/TBT/N/EU/727</w:t>
    </w:r>
    <w:bookmarkEnd w:id="41"/>
  </w:p>
  <w:p w14:paraId="0098BB85" w14:textId="77777777" w:rsidR="009239F7" w:rsidRPr="002F6A28" w:rsidRDefault="009239F7" w:rsidP="009239F7">
    <w:pPr>
      <w:pStyle w:val="Header"/>
      <w:pBdr>
        <w:bottom w:val="single" w:sz="4" w:space="1" w:color="auto"/>
      </w:pBdr>
      <w:tabs>
        <w:tab w:val="clear" w:pos="4513"/>
        <w:tab w:val="clear" w:pos="9027"/>
      </w:tabs>
      <w:jc w:val="center"/>
    </w:pPr>
  </w:p>
  <w:p w14:paraId="7E5E8540" w14:textId="77777777" w:rsidR="009239F7" w:rsidRPr="002F6A28" w:rsidRDefault="007E74A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B2AE15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E28D6" w14:paraId="217194BE" w14:textId="77777777" w:rsidTr="008612A9">
      <w:trPr>
        <w:trHeight w:val="240"/>
        <w:jc w:val="center"/>
      </w:trPr>
      <w:tc>
        <w:tcPr>
          <w:tcW w:w="3794" w:type="dxa"/>
          <w:shd w:val="clear" w:color="auto" w:fill="FFFFFF"/>
          <w:tcMar>
            <w:left w:w="108" w:type="dxa"/>
            <w:right w:w="108" w:type="dxa"/>
          </w:tcMar>
          <w:vAlign w:val="center"/>
        </w:tcPr>
        <w:p w14:paraId="34F6EC7E"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7FDB7702" w14:textId="77777777" w:rsidR="00ED54E0" w:rsidRPr="009239F7" w:rsidRDefault="00ED54E0" w:rsidP="00B801E9">
          <w:pPr>
            <w:jc w:val="right"/>
            <w:rPr>
              <w:b/>
              <w:color w:val="FF0000"/>
              <w:szCs w:val="16"/>
            </w:rPr>
          </w:pPr>
        </w:p>
      </w:tc>
    </w:tr>
    <w:bookmarkEnd w:id="42"/>
    <w:tr w:rsidR="001E28D6" w14:paraId="714739B3" w14:textId="77777777" w:rsidTr="008612A9">
      <w:trPr>
        <w:trHeight w:val="213"/>
        <w:jc w:val="center"/>
      </w:trPr>
      <w:tc>
        <w:tcPr>
          <w:tcW w:w="3794" w:type="dxa"/>
          <w:vMerge w:val="restart"/>
          <w:shd w:val="clear" w:color="auto" w:fill="FFFFFF"/>
          <w:tcMar>
            <w:left w:w="0" w:type="dxa"/>
            <w:right w:w="0" w:type="dxa"/>
          </w:tcMar>
        </w:tcPr>
        <w:p w14:paraId="1D64112C" w14:textId="77777777" w:rsidR="00ED54E0" w:rsidRPr="009239F7" w:rsidRDefault="006C16F1" w:rsidP="00B801E9">
          <w:pPr>
            <w:jc w:val="left"/>
          </w:pPr>
          <w:r>
            <w:rPr>
              <w:lang w:eastAsia="en-GB"/>
            </w:rPr>
            <w:pict w14:anchorId="3F030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45pt;height:55.9pt;visibility:visible">
                <v:imagedata r:id="rId1" o:title=""/>
              </v:shape>
            </w:pict>
          </w:r>
        </w:p>
      </w:tc>
      <w:tc>
        <w:tcPr>
          <w:tcW w:w="5448" w:type="dxa"/>
          <w:gridSpan w:val="2"/>
          <w:shd w:val="clear" w:color="auto" w:fill="FFFFFF"/>
          <w:tcMar>
            <w:left w:w="108" w:type="dxa"/>
            <w:right w:w="108" w:type="dxa"/>
          </w:tcMar>
        </w:tcPr>
        <w:p w14:paraId="22F377CA" w14:textId="77777777" w:rsidR="00ED54E0" w:rsidRPr="009239F7" w:rsidRDefault="00ED54E0" w:rsidP="00B801E9">
          <w:pPr>
            <w:jc w:val="right"/>
            <w:rPr>
              <w:b/>
              <w:szCs w:val="16"/>
            </w:rPr>
          </w:pPr>
        </w:p>
      </w:tc>
    </w:tr>
    <w:tr w:rsidR="001E28D6" w14:paraId="3CA98EB7" w14:textId="77777777" w:rsidTr="008612A9">
      <w:trPr>
        <w:trHeight w:val="868"/>
        <w:jc w:val="center"/>
      </w:trPr>
      <w:tc>
        <w:tcPr>
          <w:tcW w:w="3794" w:type="dxa"/>
          <w:vMerge/>
          <w:shd w:val="clear" w:color="auto" w:fill="FFFFFF"/>
          <w:tcMar>
            <w:left w:w="108" w:type="dxa"/>
            <w:right w:w="108" w:type="dxa"/>
          </w:tcMar>
        </w:tcPr>
        <w:p w14:paraId="547D868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E9DF414" w14:textId="77777777" w:rsidR="009239F7" w:rsidRPr="002F6A28" w:rsidRDefault="007E74A3" w:rsidP="00B801E9">
          <w:pPr>
            <w:jc w:val="right"/>
            <w:rPr>
              <w:b/>
              <w:szCs w:val="16"/>
            </w:rPr>
          </w:pPr>
          <w:bookmarkStart w:id="43" w:name="bmkSymbols"/>
          <w:r w:rsidRPr="002F6A28">
            <w:rPr>
              <w:b/>
              <w:szCs w:val="16"/>
            </w:rPr>
            <w:t>G/TBT/N/EU/727</w:t>
          </w:r>
          <w:bookmarkEnd w:id="43"/>
        </w:p>
      </w:tc>
    </w:tr>
    <w:tr w:rsidR="001E28D6" w14:paraId="3415388F" w14:textId="77777777" w:rsidTr="008612A9">
      <w:trPr>
        <w:trHeight w:val="240"/>
        <w:jc w:val="center"/>
      </w:trPr>
      <w:tc>
        <w:tcPr>
          <w:tcW w:w="3794" w:type="dxa"/>
          <w:vMerge/>
          <w:shd w:val="clear" w:color="auto" w:fill="FFFFFF"/>
          <w:tcMar>
            <w:left w:w="108" w:type="dxa"/>
            <w:right w:w="108" w:type="dxa"/>
          </w:tcMar>
          <w:vAlign w:val="center"/>
        </w:tcPr>
        <w:p w14:paraId="4FD4C83D" w14:textId="77777777" w:rsidR="00ED54E0" w:rsidRPr="009239F7" w:rsidRDefault="00ED54E0" w:rsidP="00B801E9"/>
      </w:tc>
      <w:tc>
        <w:tcPr>
          <w:tcW w:w="5448" w:type="dxa"/>
          <w:gridSpan w:val="2"/>
          <w:shd w:val="clear" w:color="auto" w:fill="FFFFFF"/>
          <w:tcMar>
            <w:left w:w="108" w:type="dxa"/>
            <w:right w:w="108" w:type="dxa"/>
          </w:tcMar>
          <w:vAlign w:val="center"/>
        </w:tcPr>
        <w:p w14:paraId="3112AA1F" w14:textId="4F8B405C" w:rsidR="00ED54E0" w:rsidRPr="009239F7" w:rsidRDefault="007E74A3" w:rsidP="00B801E9">
          <w:pPr>
            <w:jc w:val="right"/>
            <w:rPr>
              <w:szCs w:val="16"/>
            </w:rPr>
          </w:pPr>
          <w:bookmarkStart w:id="44" w:name="spsDateDistribution"/>
          <w:bookmarkStart w:id="45" w:name="bmkDate"/>
          <w:bookmarkEnd w:id="44"/>
          <w:bookmarkEnd w:id="45"/>
          <w:r>
            <w:rPr>
              <w:szCs w:val="16"/>
            </w:rPr>
            <w:t>14 July 2020</w:t>
          </w:r>
        </w:p>
      </w:tc>
    </w:tr>
    <w:tr w:rsidR="001E28D6" w14:paraId="5DE619F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D27A2DD" w14:textId="3872ABFC" w:rsidR="00ED54E0" w:rsidRPr="009239F7" w:rsidRDefault="007E74A3"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6C16F1">
            <w:rPr>
              <w:color w:val="FF0000"/>
              <w:szCs w:val="16"/>
            </w:rPr>
            <w:t>4795</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49FB4C0" w14:textId="77777777" w:rsidR="00ED54E0" w:rsidRPr="009239F7" w:rsidRDefault="007E74A3"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1E28D6" w14:paraId="420FF22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F8002DB" w14:textId="77777777" w:rsidR="00ED54E0" w:rsidRPr="009239F7" w:rsidRDefault="007E74A3"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CFA86BE" w14:textId="77777777" w:rsidR="00ED54E0" w:rsidRPr="002F6A28" w:rsidRDefault="007E74A3"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78CA894D"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B860CA4">
      <w:start w:val="1"/>
      <w:numFmt w:val="decimal"/>
      <w:pStyle w:val="SummaryText"/>
      <w:lvlText w:val="%1."/>
      <w:lvlJc w:val="left"/>
      <w:pPr>
        <w:ind w:left="360" w:hanging="360"/>
      </w:pPr>
    </w:lvl>
    <w:lvl w:ilvl="1" w:tplc="4B72B250" w:tentative="1">
      <w:start w:val="1"/>
      <w:numFmt w:val="lowerLetter"/>
      <w:lvlText w:val="%2."/>
      <w:lvlJc w:val="left"/>
      <w:pPr>
        <w:ind w:left="1080" w:hanging="360"/>
      </w:pPr>
    </w:lvl>
    <w:lvl w:ilvl="2" w:tplc="3D8801B4" w:tentative="1">
      <w:start w:val="1"/>
      <w:numFmt w:val="lowerRoman"/>
      <w:lvlText w:val="%3."/>
      <w:lvlJc w:val="right"/>
      <w:pPr>
        <w:ind w:left="1800" w:hanging="180"/>
      </w:pPr>
    </w:lvl>
    <w:lvl w:ilvl="3" w:tplc="C590BD12" w:tentative="1">
      <w:start w:val="1"/>
      <w:numFmt w:val="decimal"/>
      <w:lvlText w:val="%4."/>
      <w:lvlJc w:val="left"/>
      <w:pPr>
        <w:ind w:left="2520" w:hanging="360"/>
      </w:pPr>
    </w:lvl>
    <w:lvl w:ilvl="4" w:tplc="0644A580" w:tentative="1">
      <w:start w:val="1"/>
      <w:numFmt w:val="lowerLetter"/>
      <w:lvlText w:val="%5."/>
      <w:lvlJc w:val="left"/>
      <w:pPr>
        <w:ind w:left="3240" w:hanging="360"/>
      </w:pPr>
    </w:lvl>
    <w:lvl w:ilvl="5" w:tplc="8B9EBE3A" w:tentative="1">
      <w:start w:val="1"/>
      <w:numFmt w:val="lowerRoman"/>
      <w:lvlText w:val="%6."/>
      <w:lvlJc w:val="right"/>
      <w:pPr>
        <w:ind w:left="3960" w:hanging="180"/>
      </w:pPr>
    </w:lvl>
    <w:lvl w:ilvl="6" w:tplc="388E061A" w:tentative="1">
      <w:start w:val="1"/>
      <w:numFmt w:val="decimal"/>
      <w:lvlText w:val="%7."/>
      <w:lvlJc w:val="left"/>
      <w:pPr>
        <w:ind w:left="4680" w:hanging="360"/>
      </w:pPr>
    </w:lvl>
    <w:lvl w:ilvl="7" w:tplc="54AA6CFE" w:tentative="1">
      <w:start w:val="1"/>
      <w:numFmt w:val="lowerLetter"/>
      <w:lvlText w:val="%8."/>
      <w:lvlJc w:val="left"/>
      <w:pPr>
        <w:ind w:left="5400" w:hanging="360"/>
      </w:pPr>
    </w:lvl>
    <w:lvl w:ilvl="8" w:tplc="BADADB2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06C73B8">
      <w:start w:val="1"/>
      <w:numFmt w:val="bullet"/>
      <w:lvlText w:val=""/>
      <w:lvlJc w:val="left"/>
      <w:pPr>
        <w:ind w:left="720" w:hanging="360"/>
      </w:pPr>
      <w:rPr>
        <w:rFonts w:ascii="Symbol" w:hAnsi="Symbol"/>
      </w:rPr>
    </w:lvl>
    <w:lvl w:ilvl="1" w:tplc="DDEC61E0">
      <w:start w:val="1"/>
      <w:numFmt w:val="bullet"/>
      <w:lvlText w:val="o"/>
      <w:lvlJc w:val="left"/>
      <w:pPr>
        <w:tabs>
          <w:tab w:val="num" w:pos="1440"/>
        </w:tabs>
        <w:ind w:left="1440" w:hanging="360"/>
      </w:pPr>
      <w:rPr>
        <w:rFonts w:ascii="Courier New" w:hAnsi="Courier New"/>
      </w:rPr>
    </w:lvl>
    <w:lvl w:ilvl="2" w:tplc="615C836A">
      <w:start w:val="1"/>
      <w:numFmt w:val="bullet"/>
      <w:lvlText w:val=""/>
      <w:lvlJc w:val="left"/>
      <w:pPr>
        <w:tabs>
          <w:tab w:val="num" w:pos="2160"/>
        </w:tabs>
        <w:ind w:left="2160" w:hanging="360"/>
      </w:pPr>
      <w:rPr>
        <w:rFonts w:ascii="Wingdings" w:hAnsi="Wingdings"/>
      </w:rPr>
    </w:lvl>
    <w:lvl w:ilvl="3" w:tplc="08969CCA">
      <w:start w:val="1"/>
      <w:numFmt w:val="bullet"/>
      <w:lvlText w:val=""/>
      <w:lvlJc w:val="left"/>
      <w:pPr>
        <w:tabs>
          <w:tab w:val="num" w:pos="2880"/>
        </w:tabs>
        <w:ind w:left="2880" w:hanging="360"/>
      </w:pPr>
      <w:rPr>
        <w:rFonts w:ascii="Symbol" w:hAnsi="Symbol"/>
      </w:rPr>
    </w:lvl>
    <w:lvl w:ilvl="4" w:tplc="937A4166">
      <w:start w:val="1"/>
      <w:numFmt w:val="bullet"/>
      <w:lvlText w:val="o"/>
      <w:lvlJc w:val="left"/>
      <w:pPr>
        <w:tabs>
          <w:tab w:val="num" w:pos="3600"/>
        </w:tabs>
        <w:ind w:left="3600" w:hanging="360"/>
      </w:pPr>
      <w:rPr>
        <w:rFonts w:ascii="Courier New" w:hAnsi="Courier New"/>
      </w:rPr>
    </w:lvl>
    <w:lvl w:ilvl="5" w:tplc="7158CD7C">
      <w:start w:val="1"/>
      <w:numFmt w:val="bullet"/>
      <w:lvlText w:val=""/>
      <w:lvlJc w:val="left"/>
      <w:pPr>
        <w:tabs>
          <w:tab w:val="num" w:pos="4320"/>
        </w:tabs>
        <w:ind w:left="4320" w:hanging="360"/>
      </w:pPr>
      <w:rPr>
        <w:rFonts w:ascii="Wingdings" w:hAnsi="Wingdings"/>
      </w:rPr>
    </w:lvl>
    <w:lvl w:ilvl="6" w:tplc="96B06F1E">
      <w:start w:val="1"/>
      <w:numFmt w:val="bullet"/>
      <w:lvlText w:val=""/>
      <w:lvlJc w:val="left"/>
      <w:pPr>
        <w:tabs>
          <w:tab w:val="num" w:pos="5040"/>
        </w:tabs>
        <w:ind w:left="5040" w:hanging="360"/>
      </w:pPr>
      <w:rPr>
        <w:rFonts w:ascii="Symbol" w:hAnsi="Symbol"/>
      </w:rPr>
    </w:lvl>
    <w:lvl w:ilvl="7" w:tplc="4ED81038">
      <w:start w:val="1"/>
      <w:numFmt w:val="bullet"/>
      <w:lvlText w:val="o"/>
      <w:lvlJc w:val="left"/>
      <w:pPr>
        <w:tabs>
          <w:tab w:val="num" w:pos="5760"/>
        </w:tabs>
        <w:ind w:left="5760" w:hanging="360"/>
      </w:pPr>
      <w:rPr>
        <w:rFonts w:ascii="Courier New" w:hAnsi="Courier New"/>
      </w:rPr>
    </w:lvl>
    <w:lvl w:ilvl="8" w:tplc="9F68C680">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68A27156">
      <w:start w:val="1"/>
      <w:numFmt w:val="bullet"/>
      <w:lvlText w:val=""/>
      <w:lvlJc w:val="left"/>
      <w:pPr>
        <w:ind w:left="720" w:hanging="360"/>
      </w:pPr>
      <w:rPr>
        <w:rFonts w:ascii="Symbol" w:hAnsi="Symbol"/>
      </w:rPr>
    </w:lvl>
    <w:lvl w:ilvl="1" w:tplc="8E56FD84">
      <w:start w:val="1"/>
      <w:numFmt w:val="bullet"/>
      <w:lvlText w:val="o"/>
      <w:lvlJc w:val="left"/>
      <w:pPr>
        <w:tabs>
          <w:tab w:val="num" w:pos="1440"/>
        </w:tabs>
        <w:ind w:left="1440" w:hanging="360"/>
      </w:pPr>
      <w:rPr>
        <w:rFonts w:ascii="Courier New" w:hAnsi="Courier New"/>
      </w:rPr>
    </w:lvl>
    <w:lvl w:ilvl="2" w:tplc="50F8AD44">
      <w:start w:val="1"/>
      <w:numFmt w:val="bullet"/>
      <w:lvlText w:val=""/>
      <w:lvlJc w:val="left"/>
      <w:pPr>
        <w:tabs>
          <w:tab w:val="num" w:pos="2160"/>
        </w:tabs>
        <w:ind w:left="2160" w:hanging="360"/>
      </w:pPr>
      <w:rPr>
        <w:rFonts w:ascii="Wingdings" w:hAnsi="Wingdings"/>
      </w:rPr>
    </w:lvl>
    <w:lvl w:ilvl="3" w:tplc="8670199C">
      <w:start w:val="1"/>
      <w:numFmt w:val="bullet"/>
      <w:lvlText w:val=""/>
      <w:lvlJc w:val="left"/>
      <w:pPr>
        <w:tabs>
          <w:tab w:val="num" w:pos="2880"/>
        </w:tabs>
        <w:ind w:left="2880" w:hanging="360"/>
      </w:pPr>
      <w:rPr>
        <w:rFonts w:ascii="Symbol" w:hAnsi="Symbol"/>
      </w:rPr>
    </w:lvl>
    <w:lvl w:ilvl="4" w:tplc="D7348ED6">
      <w:start w:val="1"/>
      <w:numFmt w:val="bullet"/>
      <w:lvlText w:val="o"/>
      <w:lvlJc w:val="left"/>
      <w:pPr>
        <w:tabs>
          <w:tab w:val="num" w:pos="3600"/>
        </w:tabs>
        <w:ind w:left="3600" w:hanging="360"/>
      </w:pPr>
      <w:rPr>
        <w:rFonts w:ascii="Courier New" w:hAnsi="Courier New"/>
      </w:rPr>
    </w:lvl>
    <w:lvl w:ilvl="5" w:tplc="31F4C0FE">
      <w:start w:val="1"/>
      <w:numFmt w:val="bullet"/>
      <w:lvlText w:val=""/>
      <w:lvlJc w:val="left"/>
      <w:pPr>
        <w:tabs>
          <w:tab w:val="num" w:pos="4320"/>
        </w:tabs>
        <w:ind w:left="4320" w:hanging="360"/>
      </w:pPr>
      <w:rPr>
        <w:rFonts w:ascii="Wingdings" w:hAnsi="Wingdings"/>
      </w:rPr>
    </w:lvl>
    <w:lvl w:ilvl="6" w:tplc="555646CE">
      <w:start w:val="1"/>
      <w:numFmt w:val="bullet"/>
      <w:lvlText w:val=""/>
      <w:lvlJc w:val="left"/>
      <w:pPr>
        <w:tabs>
          <w:tab w:val="num" w:pos="5040"/>
        </w:tabs>
        <w:ind w:left="5040" w:hanging="360"/>
      </w:pPr>
      <w:rPr>
        <w:rFonts w:ascii="Symbol" w:hAnsi="Symbol"/>
      </w:rPr>
    </w:lvl>
    <w:lvl w:ilvl="7" w:tplc="A9EA0F72">
      <w:start w:val="1"/>
      <w:numFmt w:val="bullet"/>
      <w:lvlText w:val="o"/>
      <w:lvlJc w:val="left"/>
      <w:pPr>
        <w:tabs>
          <w:tab w:val="num" w:pos="5760"/>
        </w:tabs>
        <w:ind w:left="5760" w:hanging="360"/>
      </w:pPr>
      <w:rPr>
        <w:rFonts w:ascii="Courier New" w:hAnsi="Courier New"/>
      </w:rPr>
    </w:lvl>
    <w:lvl w:ilvl="8" w:tplc="DC3EE2A8">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hybridMultilevel"/>
    <w:tmpl w:val="63D526BD"/>
    <w:lvl w:ilvl="0" w:tplc="CABC1DB4">
      <w:start w:val="1"/>
      <w:numFmt w:val="bullet"/>
      <w:lvlText w:val=""/>
      <w:lvlJc w:val="left"/>
      <w:pPr>
        <w:ind w:left="720" w:hanging="360"/>
      </w:pPr>
      <w:rPr>
        <w:rFonts w:ascii="Symbol" w:hAnsi="Symbol"/>
      </w:rPr>
    </w:lvl>
    <w:lvl w:ilvl="1" w:tplc="D1869D36">
      <w:start w:val="1"/>
      <w:numFmt w:val="bullet"/>
      <w:lvlText w:val="o"/>
      <w:lvlJc w:val="left"/>
      <w:pPr>
        <w:tabs>
          <w:tab w:val="num" w:pos="1440"/>
        </w:tabs>
        <w:ind w:left="1440" w:hanging="360"/>
      </w:pPr>
      <w:rPr>
        <w:rFonts w:ascii="Courier New" w:hAnsi="Courier New"/>
      </w:rPr>
    </w:lvl>
    <w:lvl w:ilvl="2" w:tplc="C92E84C0">
      <w:start w:val="1"/>
      <w:numFmt w:val="bullet"/>
      <w:lvlText w:val=""/>
      <w:lvlJc w:val="left"/>
      <w:pPr>
        <w:tabs>
          <w:tab w:val="num" w:pos="2160"/>
        </w:tabs>
        <w:ind w:left="2160" w:hanging="360"/>
      </w:pPr>
      <w:rPr>
        <w:rFonts w:ascii="Wingdings" w:hAnsi="Wingdings"/>
      </w:rPr>
    </w:lvl>
    <w:lvl w:ilvl="3" w:tplc="2C0E99BE">
      <w:start w:val="1"/>
      <w:numFmt w:val="bullet"/>
      <w:lvlText w:val=""/>
      <w:lvlJc w:val="left"/>
      <w:pPr>
        <w:tabs>
          <w:tab w:val="num" w:pos="2880"/>
        </w:tabs>
        <w:ind w:left="2880" w:hanging="360"/>
      </w:pPr>
      <w:rPr>
        <w:rFonts w:ascii="Symbol" w:hAnsi="Symbol"/>
      </w:rPr>
    </w:lvl>
    <w:lvl w:ilvl="4" w:tplc="96A6F42E">
      <w:start w:val="1"/>
      <w:numFmt w:val="bullet"/>
      <w:lvlText w:val="o"/>
      <w:lvlJc w:val="left"/>
      <w:pPr>
        <w:tabs>
          <w:tab w:val="num" w:pos="3600"/>
        </w:tabs>
        <w:ind w:left="3600" w:hanging="360"/>
      </w:pPr>
      <w:rPr>
        <w:rFonts w:ascii="Courier New" w:hAnsi="Courier New"/>
      </w:rPr>
    </w:lvl>
    <w:lvl w:ilvl="5" w:tplc="203AB2E2">
      <w:start w:val="1"/>
      <w:numFmt w:val="bullet"/>
      <w:lvlText w:val=""/>
      <w:lvlJc w:val="left"/>
      <w:pPr>
        <w:tabs>
          <w:tab w:val="num" w:pos="4320"/>
        </w:tabs>
        <w:ind w:left="4320" w:hanging="360"/>
      </w:pPr>
      <w:rPr>
        <w:rFonts w:ascii="Wingdings" w:hAnsi="Wingdings"/>
      </w:rPr>
    </w:lvl>
    <w:lvl w:ilvl="6" w:tplc="2CFE8978">
      <w:start w:val="1"/>
      <w:numFmt w:val="bullet"/>
      <w:lvlText w:val=""/>
      <w:lvlJc w:val="left"/>
      <w:pPr>
        <w:tabs>
          <w:tab w:val="num" w:pos="5040"/>
        </w:tabs>
        <w:ind w:left="5040" w:hanging="360"/>
      </w:pPr>
      <w:rPr>
        <w:rFonts w:ascii="Symbol" w:hAnsi="Symbol"/>
      </w:rPr>
    </w:lvl>
    <w:lvl w:ilvl="7" w:tplc="472A8588">
      <w:start w:val="1"/>
      <w:numFmt w:val="bullet"/>
      <w:lvlText w:val="o"/>
      <w:lvlJc w:val="left"/>
      <w:pPr>
        <w:tabs>
          <w:tab w:val="num" w:pos="5760"/>
        </w:tabs>
        <w:ind w:left="5760" w:hanging="360"/>
      </w:pPr>
      <w:rPr>
        <w:rFonts w:ascii="Courier New" w:hAnsi="Courier New"/>
      </w:rPr>
    </w:lvl>
    <w:lvl w:ilvl="8" w:tplc="1E3425FE">
      <w:start w:val="1"/>
      <w:numFmt w:val="bullet"/>
      <w:lvlText w:val=""/>
      <w:lvlJc w:val="left"/>
      <w:pPr>
        <w:tabs>
          <w:tab w:val="num" w:pos="6480"/>
        </w:tabs>
        <w:ind w:left="6480" w:hanging="360"/>
      </w:pPr>
      <w:rPr>
        <w:rFonts w:ascii="Wingdings" w:hAnsi="Wingdings"/>
      </w:rPr>
    </w:lvl>
  </w:abstractNum>
  <w:abstractNum w:abstractNumId="17" w15:restartNumberingAfterBreak="0">
    <w:nsid w:val="63D526BE"/>
    <w:multiLevelType w:val="hybridMultilevel"/>
    <w:tmpl w:val="63D526BE"/>
    <w:lvl w:ilvl="0" w:tplc="95F0C11E">
      <w:start w:val="1"/>
      <w:numFmt w:val="bullet"/>
      <w:lvlText w:val=""/>
      <w:lvlJc w:val="left"/>
      <w:pPr>
        <w:ind w:left="720" w:hanging="360"/>
      </w:pPr>
      <w:rPr>
        <w:rFonts w:ascii="Symbol" w:hAnsi="Symbol"/>
      </w:rPr>
    </w:lvl>
    <w:lvl w:ilvl="1" w:tplc="49CC85E2">
      <w:start w:val="1"/>
      <w:numFmt w:val="bullet"/>
      <w:lvlText w:val="o"/>
      <w:lvlJc w:val="left"/>
      <w:pPr>
        <w:tabs>
          <w:tab w:val="num" w:pos="1440"/>
        </w:tabs>
        <w:ind w:left="1440" w:hanging="360"/>
      </w:pPr>
      <w:rPr>
        <w:rFonts w:ascii="Courier New" w:hAnsi="Courier New"/>
      </w:rPr>
    </w:lvl>
    <w:lvl w:ilvl="2" w:tplc="B5CE56CA">
      <w:start w:val="1"/>
      <w:numFmt w:val="bullet"/>
      <w:lvlText w:val=""/>
      <w:lvlJc w:val="left"/>
      <w:pPr>
        <w:tabs>
          <w:tab w:val="num" w:pos="2160"/>
        </w:tabs>
        <w:ind w:left="2160" w:hanging="360"/>
      </w:pPr>
      <w:rPr>
        <w:rFonts w:ascii="Wingdings" w:hAnsi="Wingdings"/>
      </w:rPr>
    </w:lvl>
    <w:lvl w:ilvl="3" w:tplc="DF80ADF0">
      <w:start w:val="1"/>
      <w:numFmt w:val="bullet"/>
      <w:lvlText w:val=""/>
      <w:lvlJc w:val="left"/>
      <w:pPr>
        <w:tabs>
          <w:tab w:val="num" w:pos="2880"/>
        </w:tabs>
        <w:ind w:left="2880" w:hanging="360"/>
      </w:pPr>
      <w:rPr>
        <w:rFonts w:ascii="Symbol" w:hAnsi="Symbol"/>
      </w:rPr>
    </w:lvl>
    <w:lvl w:ilvl="4" w:tplc="501EF074">
      <w:start w:val="1"/>
      <w:numFmt w:val="bullet"/>
      <w:lvlText w:val="o"/>
      <w:lvlJc w:val="left"/>
      <w:pPr>
        <w:tabs>
          <w:tab w:val="num" w:pos="3600"/>
        </w:tabs>
        <w:ind w:left="3600" w:hanging="360"/>
      </w:pPr>
      <w:rPr>
        <w:rFonts w:ascii="Courier New" w:hAnsi="Courier New"/>
      </w:rPr>
    </w:lvl>
    <w:lvl w:ilvl="5" w:tplc="2692024A">
      <w:start w:val="1"/>
      <w:numFmt w:val="bullet"/>
      <w:lvlText w:val=""/>
      <w:lvlJc w:val="left"/>
      <w:pPr>
        <w:tabs>
          <w:tab w:val="num" w:pos="4320"/>
        </w:tabs>
        <w:ind w:left="4320" w:hanging="360"/>
      </w:pPr>
      <w:rPr>
        <w:rFonts w:ascii="Wingdings" w:hAnsi="Wingdings"/>
      </w:rPr>
    </w:lvl>
    <w:lvl w:ilvl="6" w:tplc="1D3AB70C">
      <w:start w:val="1"/>
      <w:numFmt w:val="bullet"/>
      <w:lvlText w:val=""/>
      <w:lvlJc w:val="left"/>
      <w:pPr>
        <w:tabs>
          <w:tab w:val="num" w:pos="5040"/>
        </w:tabs>
        <w:ind w:left="5040" w:hanging="360"/>
      </w:pPr>
      <w:rPr>
        <w:rFonts w:ascii="Symbol" w:hAnsi="Symbol"/>
      </w:rPr>
    </w:lvl>
    <w:lvl w:ilvl="7" w:tplc="DC2E7D86">
      <w:start w:val="1"/>
      <w:numFmt w:val="bullet"/>
      <w:lvlText w:val="o"/>
      <w:lvlJc w:val="left"/>
      <w:pPr>
        <w:tabs>
          <w:tab w:val="num" w:pos="5760"/>
        </w:tabs>
        <w:ind w:left="5760" w:hanging="360"/>
      </w:pPr>
      <w:rPr>
        <w:rFonts w:ascii="Courier New" w:hAnsi="Courier New"/>
      </w:rPr>
    </w:lvl>
    <w:lvl w:ilvl="8" w:tplc="0CF6A7B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8D6"/>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97362"/>
    <w:rsid w:val="006A72C8"/>
    <w:rsid w:val="006C16F1"/>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E74A3"/>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016DD"/>
    <w:rsid w:val="00B16145"/>
    <w:rsid w:val="00B230EC"/>
    <w:rsid w:val="00B52738"/>
    <w:rsid w:val="00B55105"/>
    <w:rsid w:val="00B56EDC"/>
    <w:rsid w:val="00B57342"/>
    <w:rsid w:val="00B6007A"/>
    <w:rsid w:val="00B7102C"/>
    <w:rsid w:val="00B801E9"/>
    <w:rsid w:val="00B97638"/>
    <w:rsid w:val="00BB0455"/>
    <w:rsid w:val="00BB1F84"/>
    <w:rsid w:val="00BB6319"/>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2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mailto:grow-eu-tbt@ec.europa.e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grow-eu-tbt@ec.europa.eu" TargetMode="External"/><Relationship Id="rId12" Type="http://schemas.openxmlformats.org/officeDocument/2006/relationships/hyperlink" Target="https://eur-lex.europa.eu/legal-content/EN/TXT/PDF/?uri=CELEX:32009R0595&amp;from=E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PDF/?uri=CELEX:32007R0715&amp;from=EN" TargetMode="External"/><Relationship Id="rId5" Type="http://schemas.openxmlformats.org/officeDocument/2006/relationships/footnotes" Target="footnotes.xml"/><Relationship Id="rId15" Type="http://schemas.openxmlformats.org/officeDocument/2006/relationships/hyperlink" Target="https://members.wto.org/crnattachments/2020/TBT/EEC/20_4185_00_e.pdf" TargetMode="External"/><Relationship Id="rId23" Type="http://schemas.openxmlformats.org/officeDocument/2006/relationships/theme" Target="theme/theme1.xml"/><Relationship Id="rId10" Type="http://schemas.openxmlformats.org/officeDocument/2006/relationships/hyperlink" Target="https://eur-lex.europa.eu/legal-content/EN/TXT/PDF/?uri=CELEX:32007L0046&amp;from=E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ur-lex.europa.eu/legal-content/EN/TXT/PDF/?uri=CELEX:32018R0858&amp;from=EN" TargetMode="External"/><Relationship Id="rId14" Type="http://schemas.openxmlformats.org/officeDocument/2006/relationships/hyperlink" Target="http://ec.europa.eu/growth/tools-databases/tbt/e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125A0491.dotm</Template>
  <TotalTime>87</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2020-07-14T09:32:00Z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2c55a374-b1a8-4350-a2df-7e0a5b528dcc</vt:lpwstr>
  </property>
  <property fmtid="{D5CDD505-2E9C-101B-9397-08002B2CF9AE}" pid="4" name="WTOCLASSIFICATION">
    <vt:lpwstr>WTO OFFICIAL</vt:lpwstr>
  </property>
</Properties>
</file>