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B7D7A" w14:textId="77777777" w:rsidR="009239F7" w:rsidRPr="002F6A28" w:rsidRDefault="00006938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5F9579C" w14:textId="77777777" w:rsidR="009239F7" w:rsidRPr="002F6A28" w:rsidRDefault="00006938" w:rsidP="002F6A28">
      <w:pPr>
        <w:jc w:val="center"/>
      </w:pPr>
      <w:r w:rsidRPr="002F6A28">
        <w:t>The following notification is being circulated in accordance with Article 10.6</w:t>
      </w:r>
    </w:p>
    <w:p w14:paraId="39A2CE8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365C8" w14:paraId="039E165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5DA804A" w14:textId="77777777" w:rsidR="00F85C99" w:rsidRPr="002F6A28" w:rsidRDefault="0000693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A786FE6" w14:textId="77777777" w:rsidR="00F85C99" w:rsidRPr="002F6A28" w:rsidRDefault="0000693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19699C4E" w14:textId="77777777" w:rsidR="00F85C99" w:rsidRPr="002F6A28" w:rsidRDefault="0000693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365C8" w:rsidRPr="004E1BF3" w14:paraId="746E15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B84FB" w14:textId="77777777" w:rsidR="00F85C99" w:rsidRPr="002F6A28" w:rsidRDefault="0000693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983AD" w14:textId="77777777" w:rsidR="00F85C99" w:rsidRPr="002F6A28" w:rsidRDefault="0000693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4BFD4C4E" w14:textId="77777777" w:rsidR="00F85C99" w:rsidRPr="002F6A28" w:rsidRDefault="0000693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F65189D" w14:textId="77777777" w:rsidR="008068C2" w:rsidRPr="00935910" w:rsidRDefault="00006938" w:rsidP="00AA646C">
            <w:pPr>
              <w:spacing w:after="120"/>
              <w:jc w:val="left"/>
              <w:rPr>
                <w:lang w:val="fr-CH"/>
              </w:rPr>
            </w:pPr>
            <w:r w:rsidRPr="00935910">
              <w:rPr>
                <w:lang w:val="fr-CH"/>
              </w:rPr>
              <w:t>European Commission</w:t>
            </w:r>
            <w:r w:rsidRPr="00935910">
              <w:rPr>
                <w:lang w:val="fr-CH"/>
              </w:rPr>
              <w:br/>
              <w:t>EU-TBT Enquiry Point</w:t>
            </w:r>
            <w:r w:rsidRPr="00935910">
              <w:rPr>
                <w:lang w:val="fr-CH"/>
              </w:rPr>
              <w:br/>
              <w:t>Fax: +(32) 2 299 80 43</w:t>
            </w:r>
            <w:r w:rsidRPr="00935910">
              <w:rPr>
                <w:lang w:val="fr-CH"/>
              </w:rPr>
              <w:br/>
              <w:t xml:space="preserve">E-mail: </w:t>
            </w:r>
            <w:hyperlink r:id="rId7" w:history="1">
              <w:r w:rsidRPr="00935910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935910">
              <w:rPr>
                <w:lang w:val="fr-CH"/>
              </w:rPr>
              <w:br/>
              <w:t xml:space="preserve">Website: </w:t>
            </w:r>
            <w:hyperlink r:id="rId8" w:history="1">
              <w:r w:rsidRPr="00935910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bookmarkEnd w:id="7"/>
          </w:p>
        </w:tc>
      </w:tr>
      <w:tr w:rsidR="00B365C8" w14:paraId="08AC4E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8E0FF" w14:textId="77777777" w:rsidR="00F85C99" w:rsidRPr="002F6A28" w:rsidRDefault="0000693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C6DC8" w14:textId="77777777" w:rsidR="00F85C99" w:rsidRPr="0058336F" w:rsidRDefault="0000693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365C8" w14:paraId="4D6EEF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20A99" w14:textId="77777777" w:rsidR="00F85C99" w:rsidRPr="002F6A28" w:rsidRDefault="0000693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D76AF" w14:textId="77777777" w:rsidR="00F85C99" w:rsidRPr="002F6A28" w:rsidRDefault="0000693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Gunshot containing lead</w:t>
            </w:r>
            <w:bookmarkStart w:id="20" w:name="sps3a"/>
            <w:bookmarkEnd w:id="20"/>
          </w:p>
        </w:tc>
      </w:tr>
      <w:tr w:rsidR="00B365C8" w14:paraId="0EC6BC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44552" w14:textId="77777777" w:rsidR="00F85C99" w:rsidRPr="002F6A28" w:rsidRDefault="0000693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41E99" w14:textId="77777777" w:rsidR="00F85C99" w:rsidRPr="002F6A28" w:rsidRDefault="0000693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Regulation amending Annex XVII to Regulation (EC) No 1907/2006 of the European Parliament and of the Council concerning the Registration, Evaluation, Authorisation and Restriction of Chemicals (REACH) as regards lead in gunshot in or around wetlands (7 pages + Annex 4 pages,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365C8" w14:paraId="3D99D3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E206D" w14:textId="77777777" w:rsidR="00F85C99" w:rsidRPr="002F6A28" w:rsidRDefault="0000693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EEF21" w14:textId="77777777" w:rsidR="00F85C99" w:rsidRPr="002F6A28" w:rsidRDefault="0000693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Regulation would amend entry 63 to Annex XVII to Regulation (EC) No 1907/2006.</w:t>
            </w:r>
          </w:p>
          <w:p w14:paraId="6148B6CD" w14:textId="77777777" w:rsidR="00FE448B" w:rsidRPr="00C379C8" w:rsidRDefault="00006938" w:rsidP="002F6A28">
            <w:pPr>
              <w:spacing w:after="120"/>
            </w:pPr>
            <w:r w:rsidRPr="00C379C8">
              <w:t>It would prohibit the discharging and possession of gunshot made of lead or containing a concentration equal to or greater than 1% of lead by weight in or within 400 metres of wetlands.</w:t>
            </w:r>
          </w:p>
        </w:tc>
      </w:tr>
      <w:tr w:rsidR="00B365C8" w14:paraId="355ECC0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F0236" w14:textId="77777777" w:rsidR="00F85C99" w:rsidRPr="002F6A28" w:rsidRDefault="0000693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4A084" w14:textId="77777777" w:rsidR="00F85C99" w:rsidRPr="002F6A28" w:rsidRDefault="0000693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avoid the death of around 1 million waterbirds/year due to lead poisoning; to reduce human exposure via the environment to lead, a toxic metal</w:t>
            </w:r>
            <w:bookmarkStart w:id="27" w:name="sps7f"/>
            <w:bookmarkEnd w:id="27"/>
          </w:p>
        </w:tc>
      </w:tr>
      <w:tr w:rsidR="00B365C8" w14:paraId="5E1A40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728B4" w14:textId="77777777" w:rsidR="00F85C99" w:rsidRPr="002F6A28" w:rsidRDefault="0000693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13F48" w14:textId="77777777" w:rsidR="00072B36" w:rsidRPr="002F6A28" w:rsidRDefault="0000693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A958857" w14:textId="77777777" w:rsidR="008068C2" w:rsidRPr="002F6A28" w:rsidRDefault="0000693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Regulation (EC) No 1907/2006 of the European Parliament and of the Council on the Registration, Evaluation, Authorisation and Restriction of Chemicals (REACH Regulation): </w:t>
            </w:r>
            <w:hyperlink r:id="rId9" w:history="1">
              <w:hyperlink r:id="rId10" w:history="1">
                <w:r w:rsidRPr="002F6A28">
                  <w:rPr>
                    <w:bCs/>
                    <w:color w:val="0000FF"/>
                    <w:u w:val="single"/>
                  </w:rPr>
                  <w:t>http://eur-lex.europa.eu/legal-content/EN/TXT/?qid=1423064258789&amp;uri=CELEX:32006R1907</w:t>
                </w:r>
              </w:hyperlink>
            </w:hyperlink>
          </w:p>
          <w:p w14:paraId="059C73FC" w14:textId="77777777" w:rsidR="008068C2" w:rsidRPr="002F6A28" w:rsidRDefault="004E1BF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hyperlink r:id="rId11" w:history="1">
              <w:r w:rsidR="00006938" w:rsidRPr="002F6A28">
                <w:rPr>
                  <w:bCs/>
                  <w:color w:val="0000FF"/>
                  <w:u w:val="single"/>
                </w:rPr>
                <w:t>Annex XV dossier for restriction and opinions of ECHA Committees</w:t>
              </w:r>
            </w:hyperlink>
          </w:p>
        </w:tc>
      </w:tr>
      <w:tr w:rsidR="00B365C8" w14:paraId="100CE9E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ABA3B" w14:textId="77777777" w:rsidR="00EE3A11" w:rsidRPr="002F6A28" w:rsidRDefault="0000693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74287" w14:textId="77777777" w:rsidR="00EE3A11" w:rsidRPr="002F6A28" w:rsidRDefault="0000693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Second quarter of 2020</w:t>
            </w:r>
            <w:bookmarkEnd w:id="31"/>
          </w:p>
          <w:p w14:paraId="706FE764" w14:textId="77777777" w:rsidR="00EE3A11" w:rsidRPr="002F6A28" w:rsidRDefault="0000693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EU. Application of the restriction on discharging and possession would be deferred for 18 months after entry into force.</w:t>
            </w:r>
            <w:bookmarkEnd w:id="34"/>
          </w:p>
        </w:tc>
      </w:tr>
      <w:tr w:rsidR="00B365C8" w14:paraId="483871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71A03" w14:textId="77777777" w:rsidR="00F85C99" w:rsidRPr="002F6A28" w:rsidRDefault="0000693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DDB07" w14:textId="77777777" w:rsidR="00F85C99" w:rsidRPr="002F6A28" w:rsidRDefault="0000693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365C8" w14:paraId="3677876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86C48BE" w14:textId="77777777" w:rsidR="00F85C99" w:rsidRPr="002F6A28" w:rsidRDefault="0000693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D2F624A" w14:textId="77777777" w:rsidR="00F85C99" w:rsidRPr="002F6A28" w:rsidRDefault="0000693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DDA6C61" w14:textId="77777777" w:rsidR="008068C2" w:rsidRPr="002F6A28" w:rsidRDefault="00006938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2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Website: </w:t>
            </w:r>
            <w:hyperlink r:id="rId13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0F7C8142" w14:textId="77777777" w:rsidR="008068C2" w:rsidRPr="002F6A28" w:rsidRDefault="004E1BF3" w:rsidP="00B16145">
            <w:pPr>
              <w:keepNext/>
              <w:keepLines/>
              <w:spacing w:before="120" w:after="120"/>
              <w:jc w:val="left"/>
            </w:pPr>
            <w:hyperlink r:id="rId14" w:history="1">
              <w:r w:rsidR="00006938" w:rsidRPr="002F6A28">
                <w:rPr>
                  <w:color w:val="0000FF"/>
                  <w:u w:val="single"/>
                </w:rPr>
                <w:t>https://members.wto.org/crnattachments/2019/TBT/EEC/19_6302_00_e.pdf</w:t>
              </w:r>
            </w:hyperlink>
            <w:r w:rsidR="00006938" w:rsidRPr="002F6A28">
              <w:br/>
            </w:r>
            <w:hyperlink r:id="rId15" w:history="1">
              <w:r w:rsidR="00006938" w:rsidRPr="002F6A28">
                <w:rPr>
                  <w:color w:val="0000FF"/>
                  <w:u w:val="single"/>
                </w:rPr>
                <w:t>https://members.wto.org/crnattachments/2019/TBT/EEC/19_6302_01_e.pdf</w:t>
              </w:r>
            </w:hyperlink>
            <w:bookmarkEnd w:id="40"/>
          </w:p>
        </w:tc>
      </w:tr>
    </w:tbl>
    <w:p w14:paraId="22929718" w14:textId="77777777"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78CC" w14:textId="77777777" w:rsidR="00DC6180" w:rsidRDefault="00006938">
      <w:r>
        <w:separator/>
      </w:r>
    </w:p>
  </w:endnote>
  <w:endnote w:type="continuationSeparator" w:id="0">
    <w:p w14:paraId="228A2D89" w14:textId="77777777" w:rsidR="00DC6180" w:rsidRDefault="0000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041C" w14:textId="77777777" w:rsidR="009239F7" w:rsidRPr="002F6A28" w:rsidRDefault="00006938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D541" w14:textId="77777777" w:rsidR="009239F7" w:rsidRPr="002F6A28" w:rsidRDefault="00006938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8FD9" w14:textId="77777777" w:rsidR="00EE3A11" w:rsidRPr="002F6A28" w:rsidRDefault="00006938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4A59" w14:textId="77777777" w:rsidR="00DC6180" w:rsidRDefault="00006938">
      <w:r>
        <w:separator/>
      </w:r>
    </w:p>
  </w:footnote>
  <w:footnote w:type="continuationSeparator" w:id="0">
    <w:p w14:paraId="755666E9" w14:textId="77777777" w:rsidR="00DC6180" w:rsidRDefault="0000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3B7F" w14:textId="77777777" w:rsidR="009239F7" w:rsidRPr="002F6A28" w:rsidRDefault="0000693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31D32EE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37AC5A" w14:textId="77777777" w:rsidR="009239F7" w:rsidRPr="002F6A28" w:rsidRDefault="0000693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CDBD502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A5D5" w14:textId="77777777" w:rsidR="009239F7" w:rsidRPr="002F6A28" w:rsidRDefault="0000693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G/TBT/N/EU/691</w:t>
    </w:r>
    <w:bookmarkEnd w:id="41"/>
  </w:p>
  <w:p w14:paraId="22B4B6F8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DC12BA" w14:textId="77777777" w:rsidR="009239F7" w:rsidRPr="002F6A28" w:rsidRDefault="0000693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AC719BF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65C8" w14:paraId="3F8A5D8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8997C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904A9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365C8" w14:paraId="0F498D4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3288EA" w14:textId="77777777" w:rsidR="00ED54E0" w:rsidRPr="009239F7" w:rsidRDefault="0000693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804E4E" wp14:editId="0C48DAB5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96834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BB4B6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365C8" w14:paraId="1604F75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BEDB1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E75DC4" w14:textId="77777777" w:rsidR="009239F7" w:rsidRPr="002F6A28" w:rsidRDefault="0000693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G/TBT/N/EU/691</w:t>
          </w:r>
          <w:bookmarkEnd w:id="43"/>
        </w:p>
      </w:tc>
    </w:tr>
    <w:tr w:rsidR="00B365C8" w14:paraId="094F10D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91242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252025" w14:textId="1757DDCA" w:rsidR="00ED54E0" w:rsidRPr="009239F7" w:rsidRDefault="0044315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November 2019</w:t>
          </w:r>
        </w:p>
      </w:tc>
    </w:tr>
    <w:tr w:rsidR="00B365C8" w14:paraId="655F3F1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4518FD" w14:textId="17FBDC19" w:rsidR="00ED54E0" w:rsidRPr="009239F7" w:rsidRDefault="0000693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443152">
            <w:rPr>
              <w:color w:val="FF0000"/>
              <w:szCs w:val="16"/>
            </w:rPr>
            <w:t>19</w:t>
          </w:r>
          <w:r w:rsidR="004E1BF3">
            <w:rPr>
              <w:color w:val="FF0000"/>
              <w:szCs w:val="16"/>
            </w:rPr>
            <w:t>-</w:t>
          </w:r>
          <w:bookmarkStart w:id="48" w:name="_GoBack"/>
          <w:bookmarkEnd w:id="48"/>
          <w:r w:rsidR="00821363">
            <w:rPr>
              <w:color w:val="FF0000"/>
              <w:szCs w:val="16"/>
            </w:rPr>
            <w:t>7544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DC6D71" w14:textId="77777777" w:rsidR="00ED54E0" w:rsidRPr="009239F7" w:rsidRDefault="0000693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365C8" w14:paraId="3A1EE6F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057583" w14:textId="77777777" w:rsidR="00ED54E0" w:rsidRPr="009239F7" w:rsidRDefault="0000693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79CF9E" w14:textId="77777777" w:rsidR="00ED54E0" w:rsidRPr="002F6A28" w:rsidRDefault="0000693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E8F9AA0" w14:textId="77777777"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3EC8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988D4A" w:tentative="1">
      <w:start w:val="1"/>
      <w:numFmt w:val="lowerLetter"/>
      <w:lvlText w:val="%2."/>
      <w:lvlJc w:val="left"/>
      <w:pPr>
        <w:ind w:left="1080" w:hanging="360"/>
      </w:pPr>
    </w:lvl>
    <w:lvl w:ilvl="2" w:tplc="D1960882" w:tentative="1">
      <w:start w:val="1"/>
      <w:numFmt w:val="lowerRoman"/>
      <w:lvlText w:val="%3."/>
      <w:lvlJc w:val="right"/>
      <w:pPr>
        <w:ind w:left="1800" w:hanging="180"/>
      </w:pPr>
    </w:lvl>
    <w:lvl w:ilvl="3" w:tplc="D660C98E" w:tentative="1">
      <w:start w:val="1"/>
      <w:numFmt w:val="decimal"/>
      <w:lvlText w:val="%4."/>
      <w:lvlJc w:val="left"/>
      <w:pPr>
        <w:ind w:left="2520" w:hanging="360"/>
      </w:pPr>
    </w:lvl>
    <w:lvl w:ilvl="4" w:tplc="E14486A0" w:tentative="1">
      <w:start w:val="1"/>
      <w:numFmt w:val="lowerLetter"/>
      <w:lvlText w:val="%5."/>
      <w:lvlJc w:val="left"/>
      <w:pPr>
        <w:ind w:left="3240" w:hanging="360"/>
      </w:pPr>
    </w:lvl>
    <w:lvl w:ilvl="5" w:tplc="3D64939A" w:tentative="1">
      <w:start w:val="1"/>
      <w:numFmt w:val="lowerRoman"/>
      <w:lvlText w:val="%6."/>
      <w:lvlJc w:val="right"/>
      <w:pPr>
        <w:ind w:left="3960" w:hanging="180"/>
      </w:pPr>
    </w:lvl>
    <w:lvl w:ilvl="6" w:tplc="2424C1C6" w:tentative="1">
      <w:start w:val="1"/>
      <w:numFmt w:val="decimal"/>
      <w:lvlText w:val="%7."/>
      <w:lvlJc w:val="left"/>
      <w:pPr>
        <w:ind w:left="4680" w:hanging="360"/>
      </w:pPr>
    </w:lvl>
    <w:lvl w:ilvl="7" w:tplc="520039D6" w:tentative="1">
      <w:start w:val="1"/>
      <w:numFmt w:val="lowerLetter"/>
      <w:lvlText w:val="%8."/>
      <w:lvlJc w:val="left"/>
      <w:pPr>
        <w:ind w:left="5400" w:hanging="360"/>
      </w:pPr>
    </w:lvl>
    <w:lvl w:ilvl="8" w:tplc="0F8CDA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9B20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C655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283B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0005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3454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3AA2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5A8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A2CC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22CD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6938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3152"/>
    <w:rsid w:val="00467032"/>
    <w:rsid w:val="0046754A"/>
    <w:rsid w:val="0048173D"/>
    <w:rsid w:val="004A23F8"/>
    <w:rsid w:val="004C27A4"/>
    <w:rsid w:val="004E1BF3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68C2"/>
    <w:rsid w:val="00807247"/>
    <w:rsid w:val="00812D1D"/>
    <w:rsid w:val="008159AC"/>
    <w:rsid w:val="00821363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5910"/>
    <w:rsid w:val="00955D8A"/>
    <w:rsid w:val="00964F4F"/>
    <w:rsid w:val="0097650D"/>
    <w:rsid w:val="009811DD"/>
    <w:rsid w:val="00984DF3"/>
    <w:rsid w:val="00990E7D"/>
    <w:rsid w:val="009A0A89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65C8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6180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9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://ec.europa.eu/growth/tools-databases/tbt/e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mailto:grow-eu-tbt@ec.europa.e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ha.europa.eu/registry-of-restriction-intentions/-/dislist/details/0b0236e180c0ac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9/TBT/EEC/19_6302_01_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-lex.europa.eu/legal-content/EN/TXT/?qid=1423064258789&amp;uri=CELEX:32006R190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23064258789&amp;uri=CELEX:32006R1907" TargetMode="External"/><Relationship Id="rId14" Type="http://schemas.openxmlformats.org/officeDocument/2006/relationships/hyperlink" Target="https://members.wto.org/crnattachments/2019/TBT/EEC/19_6302_00_e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2524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2019-11-06T14:06:00Z</dcterms:created>
  <dcterms:modified xsi:type="dcterms:W3CDTF">2019-11-07T07:53:00Z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