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F028C" w:rsidP="00DE0D29">
      <w:pPr>
        <w:pStyle w:val="Titre"/>
        <w:spacing w:before="240"/>
        <w:rPr>
          <w:caps w:val="0"/>
          <w:kern w:val="0"/>
        </w:rPr>
      </w:pPr>
      <w:r w:rsidRPr="002F6A28">
        <w:rPr>
          <w:caps w:val="0"/>
          <w:kern w:val="0"/>
        </w:rPr>
        <w:t>NOTIFICATION</w:t>
      </w:r>
    </w:p>
    <w:p w:rsidR="009239F7" w:rsidRPr="002F6A28" w:rsidRDefault="00DF028C" w:rsidP="002F6A28">
      <w:pPr>
        <w:jc w:val="center"/>
      </w:pPr>
      <w:r w:rsidRPr="002F6A28">
        <w:t>The following notification is being circulated in accordance with Article 10.6</w:t>
      </w:r>
    </w:p>
    <w:p w:rsidR="009239F7" w:rsidRPr="002F6A28" w:rsidRDefault="00E952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65298" w:rsidTr="0069259F">
        <w:tc>
          <w:tcPr>
            <w:tcW w:w="713" w:type="dxa"/>
            <w:tcBorders>
              <w:bottom w:val="single" w:sz="6" w:space="0" w:color="auto"/>
            </w:tcBorders>
            <w:shd w:val="clear" w:color="auto" w:fill="auto"/>
          </w:tcPr>
          <w:p w:rsidR="00F85C99" w:rsidRPr="002F6A28" w:rsidRDefault="00DF028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F028C"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DF028C" w:rsidP="002F6A28">
            <w:pPr>
              <w:spacing w:after="120"/>
            </w:pPr>
            <w:r w:rsidRPr="002F6A28">
              <w:rPr>
                <w:b/>
              </w:rPr>
              <w:t>If applicable, name of local government involved (Article 3.2 and 7.2):</w:t>
            </w:r>
            <w:r w:rsidRPr="002F6A28">
              <w:t xml:space="preserve"> </w:t>
            </w:r>
            <w:bookmarkStart w:id="1" w:name="sps1b"/>
            <w:bookmarkEnd w:id="1"/>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F028C" w:rsidP="00187C59">
            <w:pPr>
              <w:spacing w:before="120" w:after="120"/>
              <w:jc w:val="left"/>
            </w:pPr>
            <w:r w:rsidRPr="002F6A28">
              <w:rPr>
                <w:b/>
              </w:rPr>
              <w:t xml:space="preserve">Agency responsible: </w:t>
            </w:r>
            <w:r>
              <w:t>Brazilian Health Regulatory Agency (Anvisa)</w:t>
            </w:r>
            <w:bookmarkStart w:id="2" w:name="sps2a"/>
            <w:bookmarkEnd w:id="2"/>
          </w:p>
          <w:p w:rsidR="00187C59" w:rsidRDefault="00DF028C" w:rsidP="00187C5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F028C" w:rsidP="002F6A28">
            <w:r>
              <w:t>National Institute of Metrology, Quality and Technology (INMETRO)</w:t>
            </w:r>
          </w:p>
          <w:p w:rsidR="00265298" w:rsidRDefault="00DF028C">
            <w:r>
              <w:t>Telephone: +(55) 21 2563.2918</w:t>
            </w:r>
          </w:p>
          <w:p w:rsidR="00265298" w:rsidRDefault="00DF028C">
            <w:r>
              <w:t>Telefax: +(55) 21 2563.5637</w:t>
            </w:r>
          </w:p>
          <w:p w:rsidR="00265298" w:rsidRDefault="00DF028C">
            <w:r>
              <w:t xml:space="preserve">Email: </w:t>
            </w:r>
            <w:hyperlink r:id="rId7" w:history="1">
              <w:r>
                <w:rPr>
                  <w:color w:val="0000FF"/>
                  <w:u w:val="single"/>
                </w:rPr>
                <w:t>barreirastecnicas@inmetro.gov.br</w:t>
              </w:r>
            </w:hyperlink>
            <w:r>
              <w:t xml:space="preserve"> </w:t>
            </w:r>
          </w:p>
          <w:p w:rsidR="00265298" w:rsidRDefault="00DF028C">
            <w:r>
              <w:t xml:space="preserve">Web-site: </w:t>
            </w:r>
            <w:hyperlink r:id="rId8" w:history="1">
              <w:r w:rsidR="00187C59" w:rsidRPr="004E04D0">
                <w:rPr>
                  <w:rStyle w:val="Lienhypertexte"/>
                </w:rPr>
                <w:t>www.inmetro.gov.br/barreirastecnicas</w:t>
              </w:r>
            </w:hyperlink>
            <w:r w:rsidR="00187C59">
              <w:t xml:space="preserve"> </w:t>
            </w:r>
            <w:r>
              <w:t xml:space="preserve"> </w:t>
            </w:r>
          </w:p>
          <w:p w:rsidR="00265298" w:rsidRDefault="00DF028C">
            <w:r>
              <w:t xml:space="preserve">The comments to this Draft Regulation shall be sent to </w:t>
            </w:r>
          </w:p>
          <w:p w:rsidR="00265298" w:rsidRDefault="00DF028C" w:rsidP="004F4C59">
            <w:pPr>
              <w:spacing w:after="120"/>
            </w:pPr>
            <w:r w:rsidRPr="004F4C59">
              <w:t>http://formsus.datasus.gov.br/site/formulario.php?id_aplicacao=33294</w:t>
            </w:r>
            <w:bookmarkStart w:id="3" w:name="sps4a"/>
            <w:bookmarkEnd w:id="3"/>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87C59" w:rsidP="002F6A28">
            <w:pPr>
              <w:spacing w:before="120" w:after="120"/>
              <w:rPr>
                <w:b/>
              </w:rPr>
            </w:pPr>
            <w:bookmarkStart w:id="4" w:name="tbt3a"/>
            <w:r>
              <w:rPr>
                <w:b/>
              </w:rPr>
              <w:t>Notified under Article 2.9.2 [</w:t>
            </w:r>
            <w:r w:rsidR="00DF028C" w:rsidRPr="002F6A28">
              <w:rPr>
                <w:b/>
              </w:rPr>
              <w:t>X</w:t>
            </w:r>
            <w:bookmarkEnd w:id="4"/>
            <w:r w:rsidR="00DF028C" w:rsidRPr="002F6A28">
              <w:rPr>
                <w:b/>
              </w:rPr>
              <w:t>], 2.10.1 [ </w:t>
            </w:r>
            <w:bookmarkStart w:id="5" w:name="tbt3b"/>
            <w:bookmarkEnd w:id="5"/>
            <w:r w:rsidR="00DF028C" w:rsidRPr="002F6A28">
              <w:rPr>
                <w:b/>
              </w:rPr>
              <w:t> ], 5.6.2 [ </w:t>
            </w:r>
            <w:bookmarkStart w:id="6" w:name="tbt3c"/>
            <w:bookmarkEnd w:id="6"/>
            <w:r w:rsidR="00DF028C" w:rsidRPr="002F6A28">
              <w:rPr>
                <w:b/>
              </w:rPr>
              <w:t> ], 5.7.1 [ </w:t>
            </w:r>
            <w:bookmarkStart w:id="7" w:name="tbt3d"/>
            <w:bookmarkEnd w:id="7"/>
            <w:r w:rsidR="00DF028C" w:rsidRPr="002F6A28">
              <w:rPr>
                <w:b/>
              </w:rPr>
              <w:t> ], other:</w:t>
            </w:r>
            <w:bookmarkStart w:id="8" w:name="tbt3e"/>
            <w:bookmarkEnd w:id="8"/>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65298" w:rsidRDefault="00DF028C" w:rsidP="00DF028C">
            <w:pPr>
              <w:spacing w:before="120" w:after="120"/>
            </w:pPr>
            <w:r w:rsidRPr="002F6A28">
              <w:rPr>
                <w:b/>
              </w:rPr>
              <w:t xml:space="preserve">Products covered (HS or CCCN where applicable, otherwise national tariff heading. ICS numbers may be provided in addition, where applicable): </w:t>
            </w:r>
            <w:r>
              <w:t>Medicines</w:t>
            </w:r>
            <w:bookmarkStart w:id="9" w:name="sps3a"/>
            <w:bookmarkEnd w:id="9"/>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F028C" w:rsidP="002F6A28">
            <w:pPr>
              <w:spacing w:before="120" w:after="120"/>
            </w:pPr>
            <w:r w:rsidRPr="002F6A28">
              <w:rPr>
                <w:b/>
              </w:rPr>
              <w:t xml:space="preserve">Title, number of pages and language(s) of the notified document: </w:t>
            </w:r>
            <w:r>
              <w:t>Draft Resolution Nº 551, 3 September 2018 (14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F028C" w:rsidP="002F6A28">
            <w:pPr>
              <w:spacing w:before="120" w:after="120"/>
              <w:rPr>
                <w:b/>
              </w:rPr>
            </w:pPr>
            <w:r w:rsidRPr="002F6A28">
              <w:rPr>
                <w:b/>
              </w:rPr>
              <w:t xml:space="preserve">Description of content: </w:t>
            </w:r>
            <w:r>
              <w:rPr>
                <w:lang w:val="en-US"/>
              </w:rPr>
              <w:t>This Draft Resolution 551/2018 establishes the Good Pharmacovigilance Practices to be watched by all the registration holder of medicine for human use.</w:t>
            </w:r>
          </w:p>
          <w:p w:rsidR="00265298" w:rsidRDefault="00DF028C">
            <w:pPr>
              <w:spacing w:after="120"/>
            </w:pPr>
            <w:r>
              <w:rPr>
                <w:lang w:val="en-US"/>
              </w:rPr>
              <w:t>The medicine registration holder:</w:t>
            </w:r>
          </w:p>
          <w:p w:rsidR="00265298" w:rsidRDefault="00DF028C">
            <w:pPr>
              <w:numPr>
                <w:ilvl w:val="0"/>
                <w:numId w:val="16"/>
              </w:numPr>
              <w:spacing w:after="120"/>
            </w:pPr>
            <w:r>
              <w:rPr>
                <w:lang w:val="en-US"/>
              </w:rPr>
              <w:t xml:space="preserve">is responsible for the actions of Pharmacovigilance related to their products and must preset the information requested by the health surveillance authority concerning Pharmacovigilance in the deadline established; </w:t>
            </w:r>
          </w:p>
          <w:p w:rsidR="00265298" w:rsidRDefault="00DF028C">
            <w:pPr>
              <w:numPr>
                <w:ilvl w:val="0"/>
                <w:numId w:val="16"/>
              </w:numPr>
              <w:spacing w:after="120"/>
            </w:pPr>
            <w:r>
              <w:rPr>
                <w:lang w:val="en-US"/>
              </w:rPr>
              <w:t>must assign 1 (one) Responsible Person for the Pharmacovigilance and offer the proper means for the development of the pharmacovigilance activities, including material and human resources, communications tools and access to all the necessary sources of information;</w:t>
            </w:r>
          </w:p>
          <w:p w:rsidR="00265298" w:rsidRDefault="00DF028C">
            <w:pPr>
              <w:numPr>
                <w:ilvl w:val="0"/>
                <w:numId w:val="16"/>
              </w:numPr>
              <w:spacing w:after="120"/>
            </w:pPr>
            <w:r>
              <w:rPr>
                <w:lang w:val="en-US"/>
              </w:rPr>
              <w:t>must implement mechanisms to inform the Responsible Person about all emergencies related to medicine safety under his responsibility and any information related to the evaluation of the risk-benefit relation;</w:t>
            </w:r>
          </w:p>
          <w:p w:rsidR="00265298" w:rsidRDefault="00DF028C">
            <w:pPr>
              <w:numPr>
                <w:ilvl w:val="0"/>
                <w:numId w:val="16"/>
              </w:numPr>
              <w:spacing w:after="120"/>
            </w:pPr>
            <w:r>
              <w:rPr>
                <w:lang w:val="en-US"/>
              </w:rPr>
              <w:t>must have a contingency plan for unforeseen events that includes software or hardware fails on the databases, to ensure the continuity of the Pharmacovigilance activities;</w:t>
            </w:r>
          </w:p>
          <w:p w:rsidR="00265298" w:rsidRDefault="00DF028C">
            <w:pPr>
              <w:numPr>
                <w:ilvl w:val="0"/>
                <w:numId w:val="16"/>
              </w:numPr>
              <w:spacing w:after="120"/>
            </w:pPr>
            <w:r>
              <w:rPr>
                <w:lang w:val="en-US"/>
              </w:rPr>
              <w:t>can transfer to a third part the execution of any Pharmacovigilance activity regulated by this Resolution;</w:t>
            </w:r>
          </w:p>
          <w:p w:rsidR="00265298" w:rsidRDefault="00DF028C">
            <w:pPr>
              <w:numPr>
                <w:ilvl w:val="0"/>
                <w:numId w:val="16"/>
              </w:numPr>
              <w:spacing w:after="120"/>
            </w:pPr>
            <w:r>
              <w:rPr>
                <w:lang w:val="en-US"/>
              </w:rPr>
              <w:lastRenderedPageBreak/>
              <w:t>must implement a Pharmacovigilance System appropriated for its needs that allows, when necessary, the adoption of measures related to the products the registration holder is responsible for and have documentation containing the detailed description of the Pharmacovigilance System, including information on structure, interfaces, work process, responsibilities and risk management activities;</w:t>
            </w:r>
          </w:p>
          <w:p w:rsidR="00265298" w:rsidRDefault="00DF028C">
            <w:pPr>
              <w:spacing w:after="120"/>
              <w:jc w:val="left"/>
            </w:pPr>
            <w:r>
              <w:rPr>
                <w:lang w:val="en-US"/>
              </w:rPr>
              <w:t>The Pharmacovigilance System:­</w:t>
            </w:r>
          </w:p>
          <w:p w:rsidR="00265298" w:rsidRDefault="00DF028C">
            <w:pPr>
              <w:numPr>
                <w:ilvl w:val="0"/>
                <w:numId w:val="17"/>
              </w:numPr>
              <w:spacing w:after="120"/>
            </w:pPr>
            <w:r>
              <w:rPr>
                <w:lang w:val="en-US"/>
              </w:rPr>
              <w:t>must be situated in Brazil, nevertheless System elements and process can be developed in other countries as long as it does not compromise the operative capacity of monitoring and the problem identification of the products on national territory;­</w:t>
            </w:r>
          </w:p>
          <w:p w:rsidR="00265298" w:rsidRDefault="00DF028C">
            <w:pPr>
              <w:numPr>
                <w:ilvl w:val="0"/>
                <w:numId w:val="17"/>
              </w:numPr>
              <w:spacing w:after="120"/>
            </w:pPr>
            <w:r>
              <w:rPr>
                <w:lang w:val="en-US"/>
              </w:rPr>
              <w:t xml:space="preserve">must be developed in compliance with all safety requirements related to the medicines including manufacturing aspects of quality assurance and quality control. </w:t>
            </w:r>
          </w:p>
          <w:p w:rsidR="00265298" w:rsidRDefault="00DF028C" w:rsidP="00DE0D29">
            <w:pPr>
              <w:spacing w:after="120"/>
            </w:pPr>
            <w:r>
              <w:rPr>
                <w:lang w:val="en-US"/>
              </w:rPr>
              <w:t>The medicine registration holder must have a self-inspection program on pharmacovigilance and conduct at least one self-inspection per year.</w:t>
            </w:r>
          </w:p>
          <w:p w:rsidR="00265298" w:rsidRDefault="00DF028C" w:rsidP="00DE0D29">
            <w:pPr>
              <w:spacing w:after="120"/>
            </w:pPr>
            <w:r>
              <w:rPr>
                <w:lang w:val="en-US"/>
              </w:rPr>
              <w:t xml:space="preserve">The Good Pharmacovigilance Practices established in this Draft Resolution 551/2018 also addresses adverse event notification to Anvisa; relation benefit-risk evaluation and risk management plan. </w:t>
            </w:r>
          </w:p>
          <w:p w:rsidR="00265298" w:rsidRDefault="00DF028C" w:rsidP="00DE0D29">
            <w:pPr>
              <w:spacing w:after="120"/>
            </w:pPr>
            <w:r>
              <w:rPr>
                <w:lang w:val="en-US"/>
              </w:rPr>
              <w:t>The Brazilian Health Regulatory System (SNVS) can conduct a pharmacovigilance inspection at the medicine registration holder at any time, announced or not.</w:t>
            </w:r>
          </w:p>
          <w:p w:rsidR="00265298" w:rsidRDefault="00DF028C" w:rsidP="00DE0D29">
            <w:pPr>
              <w:spacing w:after="120"/>
            </w:pPr>
            <w:r>
              <w:rPr>
                <w:lang w:val="en-US"/>
              </w:rPr>
              <w:t>This Draft Resolution 551/2018 revokes:</w:t>
            </w:r>
          </w:p>
          <w:p w:rsidR="00265298" w:rsidRDefault="00DF028C" w:rsidP="00DE0D29">
            <w:pPr>
              <w:numPr>
                <w:ilvl w:val="0"/>
                <w:numId w:val="18"/>
              </w:numPr>
              <w:spacing w:after="120"/>
            </w:pPr>
            <w:r>
              <w:rPr>
                <w:lang w:val="en-US"/>
              </w:rPr>
              <w:t>Collegiate Board Resolution - RDC nº 4, from 10 February 2009;</w:t>
            </w:r>
          </w:p>
          <w:p w:rsidR="00265298" w:rsidRDefault="00DF028C" w:rsidP="00DE0D29">
            <w:pPr>
              <w:numPr>
                <w:ilvl w:val="0"/>
                <w:numId w:val="18"/>
              </w:numPr>
              <w:spacing w:after="120"/>
            </w:pPr>
            <w:r>
              <w:rPr>
                <w:lang w:val="en-US"/>
              </w:rPr>
              <w:t xml:space="preserve">Normative Instruction - IN nº 14, from 27 October 2009; </w:t>
            </w:r>
          </w:p>
          <w:p w:rsidR="00265298" w:rsidRDefault="00DF028C" w:rsidP="00DE0D29">
            <w:pPr>
              <w:numPr>
                <w:ilvl w:val="0"/>
                <w:numId w:val="18"/>
              </w:numPr>
              <w:spacing w:after="120"/>
            </w:pPr>
            <w:r>
              <w:rPr>
                <w:lang w:val="en-US"/>
              </w:rPr>
              <w:t>item V of Art. 18 of the Collegiate Board Resolution - RDC nº 31, from 29</w:t>
            </w:r>
            <w:r w:rsidR="00DE0D29">
              <w:rPr>
                <w:lang w:val="en-US"/>
              </w:rPr>
              <w:t> </w:t>
            </w:r>
            <w:r>
              <w:rPr>
                <w:lang w:val="en-US"/>
              </w:rPr>
              <w:t>May</w:t>
            </w:r>
            <w:r w:rsidR="00DE0D29">
              <w:rPr>
                <w:lang w:val="en-US"/>
              </w:rPr>
              <w:t> </w:t>
            </w:r>
            <w:r>
              <w:rPr>
                <w:lang w:val="en-US"/>
              </w:rPr>
              <w:t>2014;</w:t>
            </w:r>
          </w:p>
          <w:p w:rsidR="00265298" w:rsidRDefault="00DF028C" w:rsidP="00DE0D29">
            <w:pPr>
              <w:numPr>
                <w:ilvl w:val="0"/>
                <w:numId w:val="18"/>
              </w:numPr>
              <w:spacing w:after="120"/>
            </w:pPr>
            <w:r>
              <w:rPr>
                <w:lang w:val="en-US"/>
              </w:rPr>
              <w:t>item III of Art. 47 of the Collegiate Board Resolution - RDC nº 200, from 26</w:t>
            </w:r>
            <w:r w:rsidR="00DE0D29">
              <w:rPr>
                <w:lang w:val="en-US"/>
              </w:rPr>
              <w:t> </w:t>
            </w:r>
            <w:r>
              <w:rPr>
                <w:lang w:val="en-US"/>
              </w:rPr>
              <w:t>December 2014;</w:t>
            </w:r>
          </w:p>
          <w:p w:rsidR="00265298" w:rsidRDefault="00DF028C" w:rsidP="00DE0D29">
            <w:pPr>
              <w:numPr>
                <w:ilvl w:val="0"/>
                <w:numId w:val="18"/>
              </w:numPr>
              <w:spacing w:after="120"/>
            </w:pPr>
            <w:r>
              <w:rPr>
                <w:lang w:val="en-US"/>
              </w:rPr>
              <w:t>item II of Art. 119 of the Collegiate Board Resolution - RDC nº 49, from 20</w:t>
            </w:r>
            <w:r w:rsidR="00DE0D29">
              <w:rPr>
                <w:lang w:val="en-US"/>
              </w:rPr>
              <w:t> </w:t>
            </w:r>
            <w:r>
              <w:rPr>
                <w:lang w:val="en-US"/>
              </w:rPr>
              <w:t>September 2011;</w:t>
            </w:r>
          </w:p>
          <w:p w:rsidR="00265298" w:rsidRDefault="00DF028C" w:rsidP="00DE0D29">
            <w:pPr>
              <w:numPr>
                <w:ilvl w:val="0"/>
                <w:numId w:val="18"/>
              </w:numPr>
              <w:spacing w:after="120"/>
            </w:pPr>
            <w:r>
              <w:rPr>
                <w:lang w:val="en-US"/>
              </w:rPr>
              <w:t>item IV and paragraph 3 of Art. 35 of the Collegiate Board Resolution - RDC nº 26, from 13 May 2014;</w:t>
            </w:r>
          </w:p>
          <w:p w:rsidR="00265298" w:rsidRDefault="00DF028C" w:rsidP="00DE0D29">
            <w:pPr>
              <w:numPr>
                <w:ilvl w:val="0"/>
                <w:numId w:val="18"/>
              </w:numPr>
              <w:spacing w:after="120"/>
            </w:pPr>
            <w:r>
              <w:rPr>
                <w:lang w:val="en-US"/>
              </w:rPr>
              <w:t>paragraph 2 of Art. 48 of the Collegiate Board Resolution - RDC nº 24, from 14</w:t>
            </w:r>
            <w:r w:rsidR="00DE0D29">
              <w:rPr>
                <w:lang w:val="en-US"/>
              </w:rPr>
              <w:t> </w:t>
            </w:r>
            <w:r>
              <w:rPr>
                <w:lang w:val="en-US"/>
              </w:rPr>
              <w:t>June 2011;</w:t>
            </w:r>
          </w:p>
          <w:p w:rsidR="00265298" w:rsidRDefault="00DF028C" w:rsidP="00DE0D29">
            <w:pPr>
              <w:numPr>
                <w:ilvl w:val="0"/>
                <w:numId w:val="18"/>
              </w:numPr>
              <w:spacing w:after="120"/>
            </w:pPr>
            <w:r>
              <w:rPr>
                <w:lang w:val="en-US"/>
              </w:rPr>
              <w:t>item IX of Art. 37 of the Collegiate Board Resolution - RDC nº 64, from 18</w:t>
            </w:r>
            <w:r w:rsidR="00DE0D29">
              <w:rPr>
                <w:lang w:val="en-US"/>
              </w:rPr>
              <w:t> </w:t>
            </w:r>
            <w:r>
              <w:rPr>
                <w:lang w:val="en-US"/>
              </w:rPr>
              <w:t>December 2009;</w:t>
            </w:r>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F028C" w:rsidP="00DF028C">
            <w:pPr>
              <w:spacing w:before="120" w:after="120"/>
              <w:rPr>
                <w:b/>
              </w:rPr>
            </w:pPr>
            <w:r w:rsidRPr="002F6A28">
              <w:rPr>
                <w:b/>
              </w:rPr>
              <w:t xml:space="preserve">Objective and rationale, including the nature of urgent problems where applicable: </w:t>
            </w:r>
            <w:r>
              <w:rPr>
                <w:lang w:eastAsia="en-GB"/>
              </w:rPr>
              <w:t>Protection of human health or safety</w:t>
            </w:r>
            <w:bookmarkStart w:id="13" w:name="sps7f"/>
            <w:bookmarkEnd w:id="13"/>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F028C" w:rsidP="00DF028C">
            <w:pPr>
              <w:spacing w:before="120" w:after="120"/>
            </w:pPr>
            <w:r w:rsidRPr="002F6A28">
              <w:rPr>
                <w:b/>
              </w:rPr>
              <w:t>Relevant documents:</w:t>
            </w:r>
            <w:r w:rsidRPr="002F6A28">
              <w:t xml:space="preserve"> </w:t>
            </w:r>
            <w:r>
              <w:rPr>
                <w:lang w:eastAsia="en-GB"/>
              </w:rPr>
              <w:t xml:space="preserve">(1) Brazilian Official Journal (Diário Oficial da União) 172, 05 September 2018, section 1, pages 91/92; (2) </w:t>
            </w:r>
            <w:r>
              <w:rPr>
                <w:lang w:val="en-US"/>
              </w:rPr>
              <w:t>Not applicable;</w:t>
            </w:r>
            <w:r>
              <w:rPr>
                <w:lang w:eastAsia="en-GB"/>
              </w:rPr>
              <w:t xml:space="preserve"> (3) Brazilian Official Journal; (4) Not stated.</w:t>
            </w:r>
            <w:bookmarkStart w:id="14" w:name="sps9a"/>
            <w:bookmarkEnd w:id="14"/>
            <w:r w:rsidRPr="002F6A28">
              <w:rPr>
                <w:bCs/>
              </w:rPr>
              <w:t xml:space="preserve"> </w:t>
            </w:r>
            <w:bookmarkStart w:id="15" w:name="sps9b"/>
            <w:bookmarkEnd w:id="15"/>
          </w:p>
        </w:tc>
      </w:tr>
      <w:tr w:rsidR="00265298" w:rsidTr="0069259F">
        <w:tc>
          <w:tcPr>
            <w:tcW w:w="713" w:type="dxa"/>
            <w:tcBorders>
              <w:top w:val="single" w:sz="6" w:space="0" w:color="auto"/>
              <w:bottom w:val="single" w:sz="6" w:space="0" w:color="auto"/>
            </w:tcBorders>
            <w:shd w:val="clear" w:color="auto" w:fill="auto"/>
          </w:tcPr>
          <w:p w:rsidR="00EE3A11" w:rsidRPr="002F6A28" w:rsidRDefault="00DF028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F028C" w:rsidP="00DF028C">
            <w:pPr>
              <w:spacing w:before="120" w:after="120"/>
            </w:pPr>
            <w:r w:rsidRPr="002F6A28">
              <w:rPr>
                <w:b/>
              </w:rPr>
              <w:t xml:space="preserve">Proposed date of adoption: </w:t>
            </w:r>
            <w:bookmarkStart w:id="16" w:name="sps10a"/>
            <w:bookmarkStart w:id="17" w:name="sps10b"/>
            <w:bookmarkEnd w:id="16"/>
            <w:r w:rsidRPr="002F6A28">
              <w:t>On the date of its publication</w:t>
            </w:r>
            <w:bookmarkEnd w:id="17"/>
          </w:p>
          <w:p w:rsidR="00EE3A11" w:rsidRPr="002F6A28" w:rsidRDefault="00DF028C" w:rsidP="00DF028C">
            <w:pPr>
              <w:spacing w:after="120"/>
            </w:pPr>
            <w:r w:rsidRPr="002F6A28">
              <w:rPr>
                <w:b/>
              </w:rPr>
              <w:t xml:space="preserve">Proposed date of entry into force: </w:t>
            </w:r>
            <w:bookmarkStart w:id="18" w:name="sps11a"/>
            <w:bookmarkStart w:id="19" w:name="sps11b"/>
            <w:bookmarkEnd w:id="18"/>
            <w:r w:rsidRPr="002F6A28">
              <w:t xml:space="preserve">90 days after the date of its publication </w:t>
            </w:r>
            <w:bookmarkEnd w:id="19"/>
          </w:p>
        </w:tc>
      </w:tr>
      <w:tr w:rsidR="00265298" w:rsidTr="0069259F">
        <w:tc>
          <w:tcPr>
            <w:tcW w:w="713" w:type="dxa"/>
            <w:tcBorders>
              <w:top w:val="single" w:sz="6" w:space="0" w:color="auto"/>
              <w:bottom w:val="single" w:sz="6" w:space="0" w:color="auto"/>
            </w:tcBorders>
            <w:shd w:val="clear" w:color="auto" w:fill="auto"/>
          </w:tcPr>
          <w:p w:rsidR="00F85C99" w:rsidRPr="002F6A28" w:rsidRDefault="00DF028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F028C" w:rsidP="002F6A28">
            <w:pPr>
              <w:spacing w:before="120" w:after="120"/>
            </w:pPr>
            <w:r w:rsidRPr="002F6A28">
              <w:rPr>
                <w:b/>
              </w:rPr>
              <w:t xml:space="preserve">Final date for comments: </w:t>
            </w:r>
            <w:r>
              <w:t>12 November 2018</w:t>
            </w:r>
            <w:bookmarkStart w:id="20" w:name="sps12a"/>
            <w:bookmarkEnd w:id="20"/>
          </w:p>
        </w:tc>
      </w:tr>
      <w:tr w:rsidR="00265298" w:rsidTr="0069259F">
        <w:tc>
          <w:tcPr>
            <w:tcW w:w="713" w:type="dxa"/>
            <w:tcBorders>
              <w:top w:val="single" w:sz="6" w:space="0" w:color="auto"/>
            </w:tcBorders>
            <w:shd w:val="clear" w:color="auto" w:fill="auto"/>
          </w:tcPr>
          <w:p w:rsidR="00F85C99" w:rsidRPr="002F6A28" w:rsidRDefault="00DF028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F028C"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DF028C" w:rsidP="00E969D2">
            <w:pPr>
              <w:keepNext/>
              <w:keepLines/>
              <w:spacing w:after="120"/>
              <w:jc w:val="left"/>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9" w:tgtFrame="_blank" w:history="1">
              <w:r>
                <w:rPr>
                  <w:color w:val="0000FF"/>
                  <w:u w:val="single"/>
                </w:rPr>
                <w:t>http://portal.anvisa.gov.br/english</w:t>
              </w:r>
            </w:hyperlink>
            <w:r>
              <w:br/>
            </w:r>
            <w:hyperlink r:id="rId10" w:tgtFrame="_blank" w:history="1">
              <w:r>
                <w:rPr>
                  <w:color w:val="0000FF"/>
                  <w:u w:val="single"/>
                </w:rPr>
                <w:t>http://portal.anvisa.gov.br/documents/10181/4858873/CONSULTA+P%C3%9ABLICA+N%C2%BA+551+GFARM.pdf/290926be-6495-4531-95d7-e986bcacf35c</w:t>
              </w:r>
            </w:hyperlink>
          </w:p>
        </w:tc>
      </w:tr>
    </w:tbl>
    <w:p w:rsidR="00EE3A11" w:rsidRPr="002F6A28" w:rsidRDefault="00E9526B" w:rsidP="002F6A28"/>
    <w:sectPr w:rsidR="00EE3A11" w:rsidRPr="002F6A28" w:rsidSect="00187C5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5C7" w:rsidRDefault="00DF028C">
      <w:r>
        <w:separator/>
      </w:r>
    </w:p>
  </w:endnote>
  <w:endnote w:type="continuationSeparator" w:id="0">
    <w:p w:rsidR="008855C7" w:rsidRDefault="00D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87C59" w:rsidRDefault="00187C59" w:rsidP="00187C5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87C59" w:rsidRDefault="00187C59" w:rsidP="00187C5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F028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5C7" w:rsidRDefault="00DF028C">
      <w:r>
        <w:separator/>
      </w:r>
    </w:p>
  </w:footnote>
  <w:footnote w:type="continuationSeparator" w:id="0">
    <w:p w:rsidR="008855C7" w:rsidRDefault="00DF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C59" w:rsidRPr="00187C59" w:rsidRDefault="00187C59" w:rsidP="00187C59">
    <w:pPr>
      <w:pStyle w:val="En-tte"/>
      <w:pBdr>
        <w:bottom w:val="single" w:sz="4" w:space="1" w:color="auto"/>
      </w:pBdr>
      <w:tabs>
        <w:tab w:val="clear" w:pos="4513"/>
        <w:tab w:val="clear" w:pos="9027"/>
      </w:tabs>
      <w:jc w:val="center"/>
    </w:pPr>
    <w:r w:rsidRPr="00187C59">
      <w:t>G/TBT/N/BRA/841</w:t>
    </w:r>
  </w:p>
  <w:p w:rsidR="00187C59" w:rsidRPr="00187C59" w:rsidRDefault="00187C59" w:rsidP="00187C59">
    <w:pPr>
      <w:pStyle w:val="En-tte"/>
      <w:pBdr>
        <w:bottom w:val="single" w:sz="4" w:space="1" w:color="auto"/>
      </w:pBdr>
      <w:tabs>
        <w:tab w:val="clear" w:pos="4513"/>
        <w:tab w:val="clear" w:pos="9027"/>
      </w:tabs>
      <w:jc w:val="center"/>
    </w:pPr>
  </w:p>
  <w:p w:rsidR="00187C59" w:rsidRPr="00187C59" w:rsidRDefault="00187C59" w:rsidP="00187C59">
    <w:pPr>
      <w:pStyle w:val="En-tte"/>
      <w:pBdr>
        <w:bottom w:val="single" w:sz="4" w:space="1" w:color="auto"/>
      </w:pBdr>
      <w:tabs>
        <w:tab w:val="clear" w:pos="4513"/>
        <w:tab w:val="clear" w:pos="9027"/>
      </w:tabs>
      <w:jc w:val="center"/>
    </w:pPr>
    <w:r w:rsidRPr="00187C59">
      <w:t xml:space="preserve">- </w:t>
    </w:r>
    <w:r w:rsidRPr="00187C59">
      <w:fldChar w:fldCharType="begin"/>
    </w:r>
    <w:r w:rsidRPr="00187C59">
      <w:instrText xml:space="preserve"> PAGE </w:instrText>
    </w:r>
    <w:r w:rsidRPr="00187C59">
      <w:fldChar w:fldCharType="separate"/>
    </w:r>
    <w:r w:rsidR="00E9526B">
      <w:rPr>
        <w:noProof/>
      </w:rPr>
      <w:t>2</w:t>
    </w:r>
    <w:r w:rsidRPr="00187C59">
      <w:fldChar w:fldCharType="end"/>
    </w:r>
    <w:r w:rsidRPr="00187C59">
      <w:t xml:space="preserve"> -</w:t>
    </w:r>
  </w:p>
  <w:p w:rsidR="009239F7" w:rsidRPr="00187C59" w:rsidRDefault="00E9526B" w:rsidP="00187C5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C59" w:rsidRPr="00187C59" w:rsidRDefault="00187C59" w:rsidP="00187C59">
    <w:pPr>
      <w:pStyle w:val="En-tte"/>
      <w:pBdr>
        <w:bottom w:val="single" w:sz="4" w:space="1" w:color="auto"/>
      </w:pBdr>
      <w:tabs>
        <w:tab w:val="clear" w:pos="4513"/>
        <w:tab w:val="clear" w:pos="9027"/>
      </w:tabs>
      <w:jc w:val="center"/>
    </w:pPr>
    <w:r w:rsidRPr="00187C59">
      <w:t>G/TBT/N/BRA/841</w:t>
    </w:r>
  </w:p>
  <w:p w:rsidR="00187C59" w:rsidRPr="00187C59" w:rsidRDefault="00187C59" w:rsidP="00187C59">
    <w:pPr>
      <w:pStyle w:val="En-tte"/>
      <w:pBdr>
        <w:bottom w:val="single" w:sz="4" w:space="1" w:color="auto"/>
      </w:pBdr>
      <w:tabs>
        <w:tab w:val="clear" w:pos="4513"/>
        <w:tab w:val="clear" w:pos="9027"/>
      </w:tabs>
      <w:jc w:val="center"/>
    </w:pPr>
  </w:p>
  <w:p w:rsidR="00187C59" w:rsidRPr="00187C59" w:rsidRDefault="00187C59" w:rsidP="00187C59">
    <w:pPr>
      <w:pStyle w:val="En-tte"/>
      <w:pBdr>
        <w:bottom w:val="single" w:sz="4" w:space="1" w:color="auto"/>
      </w:pBdr>
      <w:tabs>
        <w:tab w:val="clear" w:pos="4513"/>
        <w:tab w:val="clear" w:pos="9027"/>
      </w:tabs>
      <w:jc w:val="center"/>
    </w:pPr>
    <w:r w:rsidRPr="00187C59">
      <w:t xml:space="preserve">- </w:t>
    </w:r>
    <w:r w:rsidRPr="00187C59">
      <w:fldChar w:fldCharType="begin"/>
    </w:r>
    <w:r w:rsidRPr="00187C59">
      <w:instrText xml:space="preserve"> PAGE </w:instrText>
    </w:r>
    <w:r w:rsidRPr="00187C59">
      <w:fldChar w:fldCharType="separate"/>
    </w:r>
    <w:r w:rsidR="00E9526B">
      <w:rPr>
        <w:noProof/>
      </w:rPr>
      <w:t>3</w:t>
    </w:r>
    <w:r w:rsidRPr="00187C59">
      <w:fldChar w:fldCharType="end"/>
    </w:r>
    <w:r w:rsidRPr="00187C59">
      <w:t xml:space="preserve"> -</w:t>
    </w:r>
  </w:p>
  <w:p w:rsidR="009239F7" w:rsidRPr="00187C59" w:rsidRDefault="00E9526B" w:rsidP="00187C5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5298" w:rsidTr="008612A9">
      <w:trPr>
        <w:trHeight w:val="240"/>
        <w:jc w:val="center"/>
      </w:trPr>
      <w:tc>
        <w:tcPr>
          <w:tcW w:w="3794" w:type="dxa"/>
          <w:shd w:val="clear" w:color="auto" w:fill="FFFFFF"/>
          <w:tcMar>
            <w:left w:w="108" w:type="dxa"/>
            <w:right w:w="108" w:type="dxa"/>
          </w:tcMar>
          <w:vAlign w:val="center"/>
        </w:tcPr>
        <w:p w:rsidR="00ED54E0" w:rsidRPr="009239F7" w:rsidRDefault="00E9526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187C59" w:rsidP="00B801E9">
          <w:pPr>
            <w:jc w:val="right"/>
            <w:rPr>
              <w:b/>
              <w:color w:val="FF0000"/>
              <w:szCs w:val="16"/>
            </w:rPr>
          </w:pPr>
          <w:r>
            <w:rPr>
              <w:b/>
              <w:color w:val="FF0000"/>
              <w:szCs w:val="16"/>
            </w:rPr>
            <w:t xml:space="preserve"> </w:t>
          </w:r>
        </w:p>
      </w:tc>
    </w:tr>
    <w:bookmarkEnd w:id="22"/>
    <w:tr w:rsidR="00265298" w:rsidTr="008612A9">
      <w:trPr>
        <w:trHeight w:val="213"/>
        <w:jc w:val="center"/>
      </w:trPr>
      <w:tc>
        <w:tcPr>
          <w:tcW w:w="3794" w:type="dxa"/>
          <w:vMerge w:val="restart"/>
          <w:shd w:val="clear" w:color="auto" w:fill="FFFFFF"/>
          <w:tcMar>
            <w:left w:w="0" w:type="dxa"/>
            <w:right w:w="0" w:type="dxa"/>
          </w:tcMar>
        </w:tcPr>
        <w:p w:rsidR="00ED54E0" w:rsidRPr="009239F7" w:rsidRDefault="008115DB" w:rsidP="00B801E9">
          <w:pPr>
            <w:jc w:val="left"/>
          </w:pPr>
          <w:r>
            <w:rPr>
              <w:noProof/>
              <w:lang w:val="en-US"/>
            </w:rPr>
            <w:drawing>
              <wp:inline distT="0" distB="0" distL="0" distR="0" wp14:anchorId="7DB273E2" wp14:editId="4214A77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9526B" w:rsidP="00B801E9">
          <w:pPr>
            <w:jc w:val="right"/>
            <w:rPr>
              <w:b/>
              <w:szCs w:val="16"/>
            </w:rPr>
          </w:pPr>
        </w:p>
      </w:tc>
    </w:tr>
    <w:tr w:rsidR="00265298" w:rsidTr="008612A9">
      <w:trPr>
        <w:trHeight w:val="868"/>
        <w:jc w:val="center"/>
      </w:trPr>
      <w:tc>
        <w:tcPr>
          <w:tcW w:w="3794" w:type="dxa"/>
          <w:vMerge/>
          <w:shd w:val="clear" w:color="auto" w:fill="FFFFFF"/>
          <w:tcMar>
            <w:left w:w="108" w:type="dxa"/>
            <w:right w:w="108" w:type="dxa"/>
          </w:tcMar>
        </w:tcPr>
        <w:p w:rsidR="00ED54E0" w:rsidRPr="009239F7" w:rsidRDefault="00E9526B" w:rsidP="00B801E9">
          <w:pPr>
            <w:jc w:val="left"/>
            <w:rPr>
              <w:noProof/>
              <w:lang w:eastAsia="en-GB"/>
            </w:rPr>
          </w:pPr>
        </w:p>
      </w:tc>
      <w:tc>
        <w:tcPr>
          <w:tcW w:w="5448" w:type="dxa"/>
          <w:gridSpan w:val="2"/>
          <w:shd w:val="clear" w:color="auto" w:fill="FFFFFF"/>
          <w:tcMar>
            <w:left w:w="108" w:type="dxa"/>
            <w:right w:w="108" w:type="dxa"/>
          </w:tcMar>
        </w:tcPr>
        <w:p w:rsidR="00187C59" w:rsidRDefault="00187C59" w:rsidP="00B801E9">
          <w:pPr>
            <w:jc w:val="right"/>
            <w:rPr>
              <w:b/>
              <w:szCs w:val="16"/>
            </w:rPr>
          </w:pPr>
          <w:bookmarkStart w:id="23" w:name="bmkSymbols"/>
          <w:r>
            <w:rPr>
              <w:b/>
              <w:szCs w:val="16"/>
            </w:rPr>
            <w:t>G/TBT/N/BRA/841</w:t>
          </w:r>
        </w:p>
        <w:bookmarkEnd w:id="23"/>
        <w:p w:rsidR="00ED54E0" w:rsidRPr="009239F7" w:rsidRDefault="00E9526B" w:rsidP="00B801E9">
          <w:pPr>
            <w:jc w:val="right"/>
            <w:rPr>
              <w:b/>
              <w:szCs w:val="16"/>
            </w:rPr>
          </w:pPr>
        </w:p>
      </w:tc>
    </w:tr>
    <w:tr w:rsidR="00265298" w:rsidTr="008612A9">
      <w:trPr>
        <w:trHeight w:val="240"/>
        <w:jc w:val="center"/>
      </w:trPr>
      <w:tc>
        <w:tcPr>
          <w:tcW w:w="3794" w:type="dxa"/>
          <w:vMerge/>
          <w:shd w:val="clear" w:color="auto" w:fill="FFFFFF"/>
          <w:tcMar>
            <w:left w:w="108" w:type="dxa"/>
            <w:right w:w="108" w:type="dxa"/>
          </w:tcMar>
          <w:vAlign w:val="center"/>
        </w:tcPr>
        <w:p w:rsidR="00ED54E0" w:rsidRPr="009239F7" w:rsidRDefault="00E9526B" w:rsidP="00B801E9"/>
      </w:tc>
      <w:tc>
        <w:tcPr>
          <w:tcW w:w="5448" w:type="dxa"/>
          <w:gridSpan w:val="2"/>
          <w:shd w:val="clear" w:color="auto" w:fill="FFFFFF"/>
          <w:tcMar>
            <w:left w:w="108" w:type="dxa"/>
            <w:right w:w="108" w:type="dxa"/>
          </w:tcMar>
          <w:vAlign w:val="center"/>
        </w:tcPr>
        <w:p w:rsidR="00ED54E0" w:rsidRPr="009239F7" w:rsidRDefault="00E9526B" w:rsidP="00B801E9">
          <w:pPr>
            <w:jc w:val="right"/>
            <w:rPr>
              <w:szCs w:val="16"/>
            </w:rPr>
          </w:pPr>
          <w:bookmarkStart w:id="24" w:name="spsDateDistribution"/>
          <w:bookmarkStart w:id="25" w:name="bmkDate"/>
          <w:bookmarkEnd w:id="24"/>
          <w:bookmarkEnd w:id="25"/>
          <w:r>
            <w:rPr>
              <w:szCs w:val="16"/>
            </w:rPr>
            <w:t xml:space="preserve">17 September </w:t>
          </w:r>
          <w:r>
            <w:rPr>
              <w:szCs w:val="16"/>
            </w:rPr>
            <w:t>2018</w:t>
          </w:r>
          <w:bookmarkStart w:id="26" w:name="_GoBack"/>
          <w:bookmarkEnd w:id="26"/>
        </w:p>
      </w:tc>
    </w:tr>
    <w:tr w:rsidR="0026529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F028C" w:rsidP="0097650D">
          <w:pPr>
            <w:jc w:val="left"/>
            <w:rPr>
              <w:b/>
            </w:rPr>
          </w:pPr>
          <w:bookmarkStart w:id="27" w:name="bmkSerial"/>
          <w:r w:rsidRPr="002F6A28">
            <w:rPr>
              <w:color w:val="FF0000"/>
              <w:szCs w:val="16"/>
            </w:rPr>
            <w:t>(</w:t>
          </w:r>
          <w:bookmarkStart w:id="28" w:name="spsSerialNumber"/>
          <w:bookmarkEnd w:id="28"/>
          <w:r w:rsidR="00E9526B">
            <w:rPr>
              <w:color w:val="FF0000"/>
              <w:szCs w:val="16"/>
            </w:rPr>
            <w:t>18-5705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F028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9526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9526B">
            <w:rPr>
              <w:bCs/>
              <w:noProof/>
              <w:szCs w:val="16"/>
            </w:rPr>
            <w:t>3</w:t>
          </w:r>
          <w:r w:rsidRPr="002F6A28">
            <w:rPr>
              <w:bCs/>
              <w:szCs w:val="16"/>
            </w:rPr>
            <w:fldChar w:fldCharType="end"/>
          </w:r>
          <w:bookmarkEnd w:id="29"/>
        </w:p>
      </w:tc>
    </w:tr>
    <w:tr w:rsidR="0026529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7C5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87C59" w:rsidP="00B801E9">
          <w:pPr>
            <w:jc w:val="right"/>
            <w:rPr>
              <w:bCs/>
              <w:szCs w:val="18"/>
            </w:rPr>
          </w:pPr>
          <w:bookmarkStart w:id="31" w:name="bmkLanguage"/>
          <w:r>
            <w:rPr>
              <w:bCs/>
              <w:szCs w:val="18"/>
            </w:rPr>
            <w:t>Original: English</w:t>
          </w:r>
          <w:bookmarkEnd w:id="31"/>
        </w:p>
      </w:tc>
    </w:tr>
  </w:tbl>
  <w:p w:rsidR="00ED54E0" w:rsidRPr="002F6A28" w:rsidRDefault="00E95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6E6220">
      <w:start w:val="1"/>
      <w:numFmt w:val="decimal"/>
      <w:pStyle w:val="SummaryText"/>
      <w:lvlText w:val="%1."/>
      <w:lvlJc w:val="left"/>
      <w:pPr>
        <w:ind w:left="360" w:hanging="360"/>
      </w:pPr>
    </w:lvl>
    <w:lvl w:ilvl="1" w:tplc="C51E8DC4" w:tentative="1">
      <w:start w:val="1"/>
      <w:numFmt w:val="lowerLetter"/>
      <w:lvlText w:val="%2."/>
      <w:lvlJc w:val="left"/>
      <w:pPr>
        <w:ind w:left="1080" w:hanging="360"/>
      </w:pPr>
    </w:lvl>
    <w:lvl w:ilvl="2" w:tplc="1548E628" w:tentative="1">
      <w:start w:val="1"/>
      <w:numFmt w:val="lowerRoman"/>
      <w:lvlText w:val="%3."/>
      <w:lvlJc w:val="right"/>
      <w:pPr>
        <w:ind w:left="1800" w:hanging="180"/>
      </w:pPr>
    </w:lvl>
    <w:lvl w:ilvl="3" w:tplc="2DB00448" w:tentative="1">
      <w:start w:val="1"/>
      <w:numFmt w:val="decimal"/>
      <w:lvlText w:val="%4."/>
      <w:lvlJc w:val="left"/>
      <w:pPr>
        <w:ind w:left="2520" w:hanging="360"/>
      </w:pPr>
    </w:lvl>
    <w:lvl w:ilvl="4" w:tplc="A0183384" w:tentative="1">
      <w:start w:val="1"/>
      <w:numFmt w:val="lowerLetter"/>
      <w:lvlText w:val="%5."/>
      <w:lvlJc w:val="left"/>
      <w:pPr>
        <w:ind w:left="3240" w:hanging="360"/>
      </w:pPr>
    </w:lvl>
    <w:lvl w:ilvl="5" w:tplc="A26A5B5A" w:tentative="1">
      <w:start w:val="1"/>
      <w:numFmt w:val="lowerRoman"/>
      <w:lvlText w:val="%6."/>
      <w:lvlJc w:val="right"/>
      <w:pPr>
        <w:ind w:left="3960" w:hanging="180"/>
      </w:pPr>
    </w:lvl>
    <w:lvl w:ilvl="6" w:tplc="1F185C38" w:tentative="1">
      <w:start w:val="1"/>
      <w:numFmt w:val="decimal"/>
      <w:lvlText w:val="%7."/>
      <w:lvlJc w:val="left"/>
      <w:pPr>
        <w:ind w:left="4680" w:hanging="360"/>
      </w:pPr>
    </w:lvl>
    <w:lvl w:ilvl="7" w:tplc="5B122BDE" w:tentative="1">
      <w:start w:val="1"/>
      <w:numFmt w:val="lowerLetter"/>
      <w:lvlText w:val="%8."/>
      <w:lvlJc w:val="left"/>
      <w:pPr>
        <w:ind w:left="5400" w:hanging="360"/>
      </w:pPr>
    </w:lvl>
    <w:lvl w:ilvl="8" w:tplc="299C96C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59EF68C">
      <w:start w:val="1"/>
      <w:numFmt w:val="bullet"/>
      <w:lvlText w:val=""/>
      <w:lvlJc w:val="left"/>
      <w:pPr>
        <w:tabs>
          <w:tab w:val="num" w:pos="720"/>
        </w:tabs>
        <w:ind w:left="720" w:hanging="360"/>
      </w:pPr>
      <w:rPr>
        <w:rFonts w:ascii="Symbol" w:hAnsi="Symbol"/>
      </w:rPr>
    </w:lvl>
    <w:lvl w:ilvl="1" w:tplc="22FA3A16">
      <w:start w:val="1"/>
      <w:numFmt w:val="bullet"/>
      <w:lvlText w:val="o"/>
      <w:lvlJc w:val="left"/>
      <w:pPr>
        <w:tabs>
          <w:tab w:val="num" w:pos="1440"/>
        </w:tabs>
        <w:ind w:left="1440" w:hanging="360"/>
      </w:pPr>
      <w:rPr>
        <w:rFonts w:ascii="Courier New" w:hAnsi="Courier New"/>
      </w:rPr>
    </w:lvl>
    <w:lvl w:ilvl="2" w:tplc="BAD2AF7E">
      <w:start w:val="1"/>
      <w:numFmt w:val="bullet"/>
      <w:lvlText w:val=""/>
      <w:lvlJc w:val="left"/>
      <w:pPr>
        <w:tabs>
          <w:tab w:val="num" w:pos="2160"/>
        </w:tabs>
        <w:ind w:left="2160" w:hanging="360"/>
      </w:pPr>
      <w:rPr>
        <w:rFonts w:ascii="Wingdings" w:hAnsi="Wingdings"/>
      </w:rPr>
    </w:lvl>
    <w:lvl w:ilvl="3" w:tplc="0938E7F8">
      <w:start w:val="1"/>
      <w:numFmt w:val="bullet"/>
      <w:lvlText w:val=""/>
      <w:lvlJc w:val="left"/>
      <w:pPr>
        <w:tabs>
          <w:tab w:val="num" w:pos="2880"/>
        </w:tabs>
        <w:ind w:left="2880" w:hanging="360"/>
      </w:pPr>
      <w:rPr>
        <w:rFonts w:ascii="Symbol" w:hAnsi="Symbol"/>
      </w:rPr>
    </w:lvl>
    <w:lvl w:ilvl="4" w:tplc="9248402C">
      <w:start w:val="1"/>
      <w:numFmt w:val="bullet"/>
      <w:lvlText w:val="o"/>
      <w:lvlJc w:val="left"/>
      <w:pPr>
        <w:tabs>
          <w:tab w:val="num" w:pos="3600"/>
        </w:tabs>
        <w:ind w:left="3600" w:hanging="360"/>
      </w:pPr>
      <w:rPr>
        <w:rFonts w:ascii="Courier New" w:hAnsi="Courier New"/>
      </w:rPr>
    </w:lvl>
    <w:lvl w:ilvl="5" w:tplc="567ADA64">
      <w:start w:val="1"/>
      <w:numFmt w:val="bullet"/>
      <w:lvlText w:val=""/>
      <w:lvlJc w:val="left"/>
      <w:pPr>
        <w:tabs>
          <w:tab w:val="num" w:pos="4320"/>
        </w:tabs>
        <w:ind w:left="4320" w:hanging="360"/>
      </w:pPr>
      <w:rPr>
        <w:rFonts w:ascii="Wingdings" w:hAnsi="Wingdings"/>
      </w:rPr>
    </w:lvl>
    <w:lvl w:ilvl="6" w:tplc="B074E6F2">
      <w:start w:val="1"/>
      <w:numFmt w:val="bullet"/>
      <w:lvlText w:val=""/>
      <w:lvlJc w:val="left"/>
      <w:pPr>
        <w:tabs>
          <w:tab w:val="num" w:pos="5040"/>
        </w:tabs>
        <w:ind w:left="5040" w:hanging="360"/>
      </w:pPr>
      <w:rPr>
        <w:rFonts w:ascii="Symbol" w:hAnsi="Symbol"/>
      </w:rPr>
    </w:lvl>
    <w:lvl w:ilvl="7" w:tplc="8A322FF4">
      <w:start w:val="1"/>
      <w:numFmt w:val="bullet"/>
      <w:lvlText w:val="o"/>
      <w:lvlJc w:val="left"/>
      <w:pPr>
        <w:tabs>
          <w:tab w:val="num" w:pos="5760"/>
        </w:tabs>
        <w:ind w:left="5760" w:hanging="360"/>
      </w:pPr>
      <w:rPr>
        <w:rFonts w:ascii="Courier New" w:hAnsi="Courier New"/>
      </w:rPr>
    </w:lvl>
    <w:lvl w:ilvl="8" w:tplc="236AE50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618ED90">
      <w:start w:val="1"/>
      <w:numFmt w:val="bullet"/>
      <w:lvlText w:val=""/>
      <w:lvlJc w:val="left"/>
      <w:pPr>
        <w:tabs>
          <w:tab w:val="num" w:pos="720"/>
        </w:tabs>
        <w:ind w:left="720" w:hanging="360"/>
      </w:pPr>
      <w:rPr>
        <w:rFonts w:ascii="Symbol" w:hAnsi="Symbol"/>
      </w:rPr>
    </w:lvl>
    <w:lvl w:ilvl="1" w:tplc="64BE231C">
      <w:start w:val="1"/>
      <w:numFmt w:val="bullet"/>
      <w:lvlText w:val="o"/>
      <w:lvlJc w:val="left"/>
      <w:pPr>
        <w:tabs>
          <w:tab w:val="num" w:pos="1440"/>
        </w:tabs>
        <w:ind w:left="1440" w:hanging="360"/>
      </w:pPr>
      <w:rPr>
        <w:rFonts w:ascii="Courier New" w:hAnsi="Courier New"/>
      </w:rPr>
    </w:lvl>
    <w:lvl w:ilvl="2" w:tplc="5A20DEFE">
      <w:start w:val="1"/>
      <w:numFmt w:val="bullet"/>
      <w:lvlText w:val=""/>
      <w:lvlJc w:val="left"/>
      <w:pPr>
        <w:tabs>
          <w:tab w:val="num" w:pos="2160"/>
        </w:tabs>
        <w:ind w:left="2160" w:hanging="360"/>
      </w:pPr>
      <w:rPr>
        <w:rFonts w:ascii="Wingdings" w:hAnsi="Wingdings"/>
      </w:rPr>
    </w:lvl>
    <w:lvl w:ilvl="3" w:tplc="79AAFAF4">
      <w:start w:val="1"/>
      <w:numFmt w:val="bullet"/>
      <w:lvlText w:val=""/>
      <w:lvlJc w:val="left"/>
      <w:pPr>
        <w:tabs>
          <w:tab w:val="num" w:pos="2880"/>
        </w:tabs>
        <w:ind w:left="2880" w:hanging="360"/>
      </w:pPr>
      <w:rPr>
        <w:rFonts w:ascii="Symbol" w:hAnsi="Symbol"/>
      </w:rPr>
    </w:lvl>
    <w:lvl w:ilvl="4" w:tplc="2C7AB968">
      <w:start w:val="1"/>
      <w:numFmt w:val="bullet"/>
      <w:lvlText w:val="o"/>
      <w:lvlJc w:val="left"/>
      <w:pPr>
        <w:tabs>
          <w:tab w:val="num" w:pos="3600"/>
        </w:tabs>
        <w:ind w:left="3600" w:hanging="360"/>
      </w:pPr>
      <w:rPr>
        <w:rFonts w:ascii="Courier New" w:hAnsi="Courier New"/>
      </w:rPr>
    </w:lvl>
    <w:lvl w:ilvl="5" w:tplc="60BCA0EE">
      <w:start w:val="1"/>
      <w:numFmt w:val="bullet"/>
      <w:lvlText w:val=""/>
      <w:lvlJc w:val="left"/>
      <w:pPr>
        <w:tabs>
          <w:tab w:val="num" w:pos="4320"/>
        </w:tabs>
        <w:ind w:left="4320" w:hanging="360"/>
      </w:pPr>
      <w:rPr>
        <w:rFonts w:ascii="Wingdings" w:hAnsi="Wingdings"/>
      </w:rPr>
    </w:lvl>
    <w:lvl w:ilvl="6" w:tplc="7D34A4BA">
      <w:start w:val="1"/>
      <w:numFmt w:val="bullet"/>
      <w:lvlText w:val=""/>
      <w:lvlJc w:val="left"/>
      <w:pPr>
        <w:tabs>
          <w:tab w:val="num" w:pos="5040"/>
        </w:tabs>
        <w:ind w:left="5040" w:hanging="360"/>
      </w:pPr>
      <w:rPr>
        <w:rFonts w:ascii="Symbol" w:hAnsi="Symbol"/>
      </w:rPr>
    </w:lvl>
    <w:lvl w:ilvl="7" w:tplc="EDBCDF0A">
      <w:start w:val="1"/>
      <w:numFmt w:val="bullet"/>
      <w:lvlText w:val="o"/>
      <w:lvlJc w:val="left"/>
      <w:pPr>
        <w:tabs>
          <w:tab w:val="num" w:pos="5760"/>
        </w:tabs>
        <w:ind w:left="5760" w:hanging="360"/>
      </w:pPr>
      <w:rPr>
        <w:rFonts w:ascii="Courier New" w:hAnsi="Courier New"/>
      </w:rPr>
    </w:lvl>
    <w:lvl w:ilvl="8" w:tplc="223A85E2">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CAE2FF98">
      <w:start w:val="1"/>
      <w:numFmt w:val="bullet"/>
      <w:lvlText w:val=""/>
      <w:lvlJc w:val="left"/>
      <w:pPr>
        <w:tabs>
          <w:tab w:val="num" w:pos="720"/>
        </w:tabs>
        <w:ind w:left="720" w:hanging="360"/>
      </w:pPr>
      <w:rPr>
        <w:rFonts w:ascii="Symbol" w:hAnsi="Symbol"/>
      </w:rPr>
    </w:lvl>
    <w:lvl w:ilvl="1" w:tplc="05AAA5A2">
      <w:start w:val="1"/>
      <w:numFmt w:val="bullet"/>
      <w:lvlText w:val="o"/>
      <w:lvlJc w:val="left"/>
      <w:pPr>
        <w:tabs>
          <w:tab w:val="num" w:pos="1440"/>
        </w:tabs>
        <w:ind w:left="1440" w:hanging="360"/>
      </w:pPr>
      <w:rPr>
        <w:rFonts w:ascii="Courier New" w:hAnsi="Courier New"/>
      </w:rPr>
    </w:lvl>
    <w:lvl w:ilvl="2" w:tplc="D1A0859C">
      <w:start w:val="1"/>
      <w:numFmt w:val="bullet"/>
      <w:lvlText w:val=""/>
      <w:lvlJc w:val="left"/>
      <w:pPr>
        <w:tabs>
          <w:tab w:val="num" w:pos="2160"/>
        </w:tabs>
        <w:ind w:left="2160" w:hanging="360"/>
      </w:pPr>
      <w:rPr>
        <w:rFonts w:ascii="Wingdings" w:hAnsi="Wingdings"/>
      </w:rPr>
    </w:lvl>
    <w:lvl w:ilvl="3" w:tplc="330EFE24">
      <w:start w:val="1"/>
      <w:numFmt w:val="bullet"/>
      <w:lvlText w:val=""/>
      <w:lvlJc w:val="left"/>
      <w:pPr>
        <w:tabs>
          <w:tab w:val="num" w:pos="2880"/>
        </w:tabs>
        <w:ind w:left="2880" w:hanging="360"/>
      </w:pPr>
      <w:rPr>
        <w:rFonts w:ascii="Symbol" w:hAnsi="Symbol"/>
      </w:rPr>
    </w:lvl>
    <w:lvl w:ilvl="4" w:tplc="6934811E">
      <w:start w:val="1"/>
      <w:numFmt w:val="bullet"/>
      <w:lvlText w:val="o"/>
      <w:lvlJc w:val="left"/>
      <w:pPr>
        <w:tabs>
          <w:tab w:val="num" w:pos="3600"/>
        </w:tabs>
        <w:ind w:left="3600" w:hanging="360"/>
      </w:pPr>
      <w:rPr>
        <w:rFonts w:ascii="Courier New" w:hAnsi="Courier New"/>
      </w:rPr>
    </w:lvl>
    <w:lvl w:ilvl="5" w:tplc="CC348044">
      <w:start w:val="1"/>
      <w:numFmt w:val="bullet"/>
      <w:lvlText w:val=""/>
      <w:lvlJc w:val="left"/>
      <w:pPr>
        <w:tabs>
          <w:tab w:val="num" w:pos="4320"/>
        </w:tabs>
        <w:ind w:left="4320" w:hanging="360"/>
      </w:pPr>
      <w:rPr>
        <w:rFonts w:ascii="Wingdings" w:hAnsi="Wingdings"/>
      </w:rPr>
    </w:lvl>
    <w:lvl w:ilvl="6" w:tplc="4D9002FE">
      <w:start w:val="1"/>
      <w:numFmt w:val="bullet"/>
      <w:lvlText w:val=""/>
      <w:lvlJc w:val="left"/>
      <w:pPr>
        <w:tabs>
          <w:tab w:val="num" w:pos="5040"/>
        </w:tabs>
        <w:ind w:left="5040" w:hanging="360"/>
      </w:pPr>
      <w:rPr>
        <w:rFonts w:ascii="Symbol" w:hAnsi="Symbol"/>
      </w:rPr>
    </w:lvl>
    <w:lvl w:ilvl="7" w:tplc="29E494DE">
      <w:start w:val="1"/>
      <w:numFmt w:val="bullet"/>
      <w:lvlText w:val="o"/>
      <w:lvlJc w:val="left"/>
      <w:pPr>
        <w:tabs>
          <w:tab w:val="num" w:pos="5760"/>
        </w:tabs>
        <w:ind w:left="5760" w:hanging="360"/>
      </w:pPr>
      <w:rPr>
        <w:rFonts w:ascii="Courier New" w:hAnsi="Courier New"/>
      </w:rPr>
    </w:lvl>
    <w:lvl w:ilvl="8" w:tplc="8D3A54C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98"/>
    <w:rsid w:val="00187C59"/>
    <w:rsid w:val="00265298"/>
    <w:rsid w:val="004F4C59"/>
    <w:rsid w:val="008115DB"/>
    <w:rsid w:val="008855C7"/>
    <w:rsid w:val="00DE0D29"/>
    <w:rsid w:val="00DF028C"/>
    <w:rsid w:val="00E9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CE3A"/>
  <w15:docId w15:val="{06818980-F577-4487-BB52-1DDB99D0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4858873/CONSULTA+P%C3%9ABLICA+N%C2%BA+551+GFARM.pdf/290926be-6495-4531-95d7-e986bcacf35c" TargetMode="External"/><Relationship Id="rId4" Type="http://schemas.openxmlformats.org/officeDocument/2006/relationships/webSettings" Target="webSettings.xml"/><Relationship Id="rId9" Type="http://schemas.openxmlformats.org/officeDocument/2006/relationships/hyperlink" Target="http://portal.anvisa.gov.br/englis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887</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2018-09-17T07:45:00Z</dcterms:created>
  <dcterms:modified xsi:type="dcterms:W3CDTF">2018-09-17T09:15:00Z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G/TBT/N/BRA/841</vt:lpwstr>
  </property>
</Properties>
</file>