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691371" w:rsidP="002F6A28">
      <w:pPr>
        <w:pStyle w:val="Title"/>
        <w:rPr>
          <w:caps w:val="0"/>
          <w:kern w:val="0"/>
        </w:rPr>
      </w:pPr>
      <w:r w:rsidRPr="002F6A28">
        <w:rPr>
          <w:caps w:val="0"/>
          <w:kern w:val="0"/>
        </w:rPr>
        <w:t>NOTIFICATION</w:t>
      </w:r>
    </w:p>
    <w:p w:rsidR="009239F7" w:rsidRPr="002F6A28" w:rsidRDefault="00691371" w:rsidP="002F6A28">
      <w:pPr>
        <w:jc w:val="center"/>
      </w:pPr>
      <w:r w:rsidRPr="002F6A28">
        <w:t>The following notification is being circulated in accordance with Article 10.6</w:t>
      </w:r>
    </w:p>
    <w:p w:rsidR="009239F7" w:rsidRPr="002F6A28" w:rsidRDefault="0093567C"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D216C9" w:rsidTr="0069259F">
        <w:tc>
          <w:tcPr>
            <w:tcW w:w="713" w:type="dxa"/>
            <w:tcBorders>
              <w:bottom w:val="single" w:sz="6" w:space="0" w:color="auto"/>
            </w:tcBorders>
            <w:shd w:val="clear" w:color="auto" w:fill="auto"/>
          </w:tcPr>
          <w:p w:rsidR="00F85C99" w:rsidRPr="002F6A28" w:rsidRDefault="0069137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691371" w:rsidP="00FD075A">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691371" w:rsidP="00FD075A">
            <w:pPr>
              <w:spacing w:after="120"/>
            </w:pPr>
            <w:r w:rsidRPr="002F6A28">
              <w:rPr>
                <w:b/>
              </w:rPr>
              <w:t>If applicable, name of local government involved (Article 3.2 and 7.2):</w:t>
            </w:r>
            <w:r w:rsidRPr="002F6A28">
              <w:t xml:space="preserve"> </w:t>
            </w:r>
            <w:bookmarkStart w:id="1" w:name="sps1b"/>
            <w:bookmarkEnd w:id="1"/>
          </w:p>
        </w:tc>
      </w:tr>
      <w:tr w:rsidR="00D216C9" w:rsidRPr="0093567C" w:rsidTr="0069259F">
        <w:tc>
          <w:tcPr>
            <w:tcW w:w="713" w:type="dxa"/>
            <w:tcBorders>
              <w:top w:val="single" w:sz="6" w:space="0" w:color="auto"/>
              <w:bottom w:val="single" w:sz="6" w:space="0" w:color="auto"/>
            </w:tcBorders>
            <w:shd w:val="clear" w:color="auto" w:fill="auto"/>
          </w:tcPr>
          <w:p w:rsidR="00F85C99" w:rsidRPr="002F6A28" w:rsidRDefault="0069137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91371" w:rsidP="00FD075A">
            <w:pPr>
              <w:spacing w:before="120" w:after="120"/>
            </w:pPr>
            <w:r w:rsidRPr="002F6A28">
              <w:rPr>
                <w:b/>
              </w:rPr>
              <w:t xml:space="preserve">Agency responsible: </w:t>
            </w:r>
            <w:r>
              <w:t>European Commission</w:t>
            </w:r>
            <w:bookmarkStart w:id="2" w:name="sps2a"/>
            <w:bookmarkEnd w:id="2"/>
          </w:p>
          <w:p w:rsidR="007A167C" w:rsidRDefault="00691371" w:rsidP="00FD075A">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C96571" w:rsidRDefault="00691371" w:rsidP="00FD075A">
            <w:pPr>
              <w:spacing w:before="120"/>
              <w:rPr>
                <w:lang w:val="fr-CH"/>
              </w:rPr>
            </w:pPr>
            <w:r w:rsidRPr="00C96571">
              <w:rPr>
                <w:lang w:val="fr-CH"/>
              </w:rPr>
              <w:t>European Commission</w:t>
            </w:r>
          </w:p>
          <w:p w:rsidR="00D216C9" w:rsidRPr="008B5363" w:rsidRDefault="00691371" w:rsidP="00FD075A">
            <w:pPr>
              <w:rPr>
                <w:lang w:val="fr-CH"/>
              </w:rPr>
            </w:pPr>
            <w:r w:rsidRPr="008B5363">
              <w:rPr>
                <w:lang w:val="fr-CH"/>
              </w:rPr>
              <w:t>EU-TBT Enquiry Point</w:t>
            </w:r>
          </w:p>
          <w:p w:rsidR="00D216C9" w:rsidRPr="008B5363" w:rsidRDefault="00691371" w:rsidP="00FD075A">
            <w:pPr>
              <w:rPr>
                <w:lang w:val="fr-CH"/>
              </w:rPr>
            </w:pPr>
            <w:r w:rsidRPr="008B5363">
              <w:rPr>
                <w:lang w:val="fr-CH"/>
              </w:rPr>
              <w:t>Fax: +(32) 2 299 80 43</w:t>
            </w:r>
          </w:p>
          <w:p w:rsidR="00D216C9" w:rsidRPr="00C96571" w:rsidRDefault="00691371" w:rsidP="00FD075A">
            <w:pPr>
              <w:rPr>
                <w:lang w:val="fr-CH"/>
              </w:rPr>
            </w:pPr>
            <w:r w:rsidRPr="00C96571">
              <w:rPr>
                <w:lang w:val="fr-CH"/>
              </w:rPr>
              <w:t xml:space="preserve">E-mail: </w:t>
            </w:r>
            <w:hyperlink r:id="rId9" w:history="1">
              <w:r w:rsidRPr="00C96571">
                <w:rPr>
                  <w:color w:val="0000FF"/>
                  <w:u w:val="single"/>
                  <w:lang w:val="fr-CH"/>
                </w:rPr>
                <w:t>grow-eu-tbt@ec.europa.eu</w:t>
              </w:r>
            </w:hyperlink>
          </w:p>
          <w:p w:rsidR="00D216C9" w:rsidRPr="0093567C" w:rsidRDefault="00691371" w:rsidP="00FD075A">
            <w:pPr>
              <w:spacing w:after="120"/>
              <w:rPr>
                <w:lang w:val="fr-CH"/>
              </w:rPr>
            </w:pPr>
            <w:r w:rsidRPr="0093567C">
              <w:rPr>
                <w:lang w:val="fr-CH"/>
              </w:rPr>
              <w:t xml:space="preserve">Website: </w:t>
            </w:r>
            <w:r w:rsidR="0093567C">
              <w:fldChar w:fldCharType="begin"/>
            </w:r>
            <w:r w:rsidR="0093567C" w:rsidRPr="0093567C">
              <w:rPr>
                <w:lang w:val="fr-CH"/>
              </w:rPr>
              <w:instrText xml:space="preserve"> HYPERLINK "http://ec.europa.eu/growth/tools-databases/tbt/en/" \t "_blank" </w:instrText>
            </w:r>
            <w:r w:rsidR="0093567C">
              <w:fldChar w:fldCharType="separate"/>
            </w:r>
            <w:r w:rsidRPr="0093567C">
              <w:rPr>
                <w:color w:val="0000FF"/>
                <w:u w:val="single"/>
                <w:lang w:val="fr-CH"/>
              </w:rPr>
              <w:t>http://ec.europa.eu/growth/tools-databases/tbt/en/</w:t>
            </w:r>
            <w:r w:rsidR="0093567C">
              <w:rPr>
                <w:color w:val="0000FF"/>
                <w:u w:val="single"/>
              </w:rPr>
              <w:fldChar w:fldCharType="end"/>
            </w:r>
            <w:r w:rsidRPr="0093567C">
              <w:rPr>
                <w:lang w:val="fr-CH"/>
              </w:rPr>
              <w:t xml:space="preserve"> </w:t>
            </w:r>
            <w:bookmarkStart w:id="3" w:name="sps4a"/>
            <w:bookmarkEnd w:id="3"/>
          </w:p>
        </w:tc>
      </w:tr>
      <w:tr w:rsidR="00D216C9" w:rsidTr="0069259F">
        <w:tc>
          <w:tcPr>
            <w:tcW w:w="713" w:type="dxa"/>
            <w:tcBorders>
              <w:top w:val="single" w:sz="6" w:space="0" w:color="auto"/>
              <w:bottom w:val="single" w:sz="6" w:space="0" w:color="auto"/>
            </w:tcBorders>
            <w:shd w:val="clear" w:color="auto" w:fill="auto"/>
          </w:tcPr>
          <w:p w:rsidR="00F85C99" w:rsidRPr="002F6A28" w:rsidRDefault="0069137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691371" w:rsidP="00FD075A">
            <w:pPr>
              <w:spacing w:before="120" w:after="120"/>
              <w:rPr>
                <w:b/>
              </w:rPr>
            </w:pPr>
            <w:r w:rsidRPr="002F6A28">
              <w:rPr>
                <w:b/>
              </w:rPr>
              <w:t>Notified under Article 2.9.2 [</w:t>
            </w:r>
            <w:r w:rsidR="007A167C" w:rsidRPr="002F6A28">
              <w:rPr>
                <w:b/>
              </w:rPr>
              <w:t> </w:t>
            </w:r>
            <w:r w:rsidRPr="002F6A28">
              <w:rPr>
                <w:b/>
              </w:rPr>
              <w:t>], 2.10.1 [</w:t>
            </w:r>
            <w:r w:rsidR="007A167C" w:rsidRPr="002F6A28">
              <w:rPr>
                <w:b/>
              </w:rPr>
              <w:t> </w:t>
            </w:r>
            <w:r w:rsidRPr="002F6A28">
              <w:rPr>
                <w:b/>
              </w:rPr>
              <w:t>], 5.6.2 [</w:t>
            </w:r>
            <w:bookmarkStart w:id="4" w:name="tbt3c"/>
            <w:r w:rsidRPr="002F6A28">
              <w:rPr>
                <w:b/>
              </w:rPr>
              <w:t>X</w:t>
            </w:r>
            <w:bookmarkEnd w:id="4"/>
            <w:r w:rsidRPr="002F6A28">
              <w:rPr>
                <w:b/>
              </w:rPr>
              <w:t>], 5.7.1 [</w:t>
            </w:r>
            <w:r w:rsidR="007A167C" w:rsidRPr="002F6A28">
              <w:rPr>
                <w:b/>
              </w:rPr>
              <w:t> </w:t>
            </w:r>
            <w:r w:rsidRPr="002F6A28">
              <w:rPr>
                <w:b/>
              </w:rPr>
              <w:t>], other:</w:t>
            </w:r>
            <w:bookmarkStart w:id="5" w:name="tbt3e"/>
            <w:bookmarkEnd w:id="5"/>
          </w:p>
        </w:tc>
      </w:tr>
      <w:tr w:rsidR="00D216C9" w:rsidTr="0069259F">
        <w:tc>
          <w:tcPr>
            <w:tcW w:w="713" w:type="dxa"/>
            <w:tcBorders>
              <w:top w:val="single" w:sz="6" w:space="0" w:color="auto"/>
              <w:bottom w:val="single" w:sz="6" w:space="0" w:color="auto"/>
            </w:tcBorders>
            <w:shd w:val="clear" w:color="auto" w:fill="auto"/>
          </w:tcPr>
          <w:p w:rsidR="00F85C99" w:rsidRPr="002F6A28" w:rsidRDefault="0069137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D216C9" w:rsidRDefault="00691371" w:rsidP="00FD075A">
            <w:pPr>
              <w:spacing w:before="120" w:after="120"/>
            </w:pPr>
            <w:r w:rsidRPr="002F6A28">
              <w:rPr>
                <w:b/>
              </w:rPr>
              <w:t xml:space="preserve">Products covered (HS or CCCN where applicable, otherwise national tariff heading. ICS numbers may be provided in addition, where applicable): </w:t>
            </w:r>
            <w:r>
              <w:t>Motor vehicles, trailers, two- and three-wheeled vehicles, quadricycles, agricultural and forestry vehicles, systems, components, technical units and engines for use in non-road mobile machinery</w:t>
            </w:r>
            <w:bookmarkStart w:id="6" w:name="sps3a"/>
            <w:bookmarkEnd w:id="6"/>
          </w:p>
        </w:tc>
      </w:tr>
      <w:tr w:rsidR="00D216C9" w:rsidTr="0069259F">
        <w:tc>
          <w:tcPr>
            <w:tcW w:w="713" w:type="dxa"/>
            <w:tcBorders>
              <w:top w:val="single" w:sz="6" w:space="0" w:color="auto"/>
              <w:bottom w:val="single" w:sz="6" w:space="0" w:color="auto"/>
            </w:tcBorders>
            <w:shd w:val="clear" w:color="auto" w:fill="auto"/>
          </w:tcPr>
          <w:p w:rsidR="00F85C99" w:rsidRPr="002F6A28" w:rsidRDefault="0069137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91371" w:rsidP="00FD075A">
            <w:pPr>
              <w:spacing w:before="120" w:after="120"/>
            </w:pPr>
            <w:r w:rsidRPr="002F6A28">
              <w:rPr>
                <w:b/>
              </w:rPr>
              <w:t xml:space="preserve">Title, number of pages and language(s) of the notified document: </w:t>
            </w:r>
            <w:r>
              <w:t>Proposal for a Regulation of the European Parliament and of the Council complementing EU type-approval legislation with regard to the withdrawal of the United Kingdom from the Union (COM(2018) 397 final) (12 page(s), in English)</w:t>
            </w:r>
            <w:bookmarkStart w:id="7" w:name="sps5a"/>
            <w:bookmarkStart w:id="8" w:name="sps5b"/>
            <w:bookmarkEnd w:id="7"/>
            <w:bookmarkEnd w:id="8"/>
            <w:r w:rsidR="007A167C" w:rsidRPr="002F6A28">
              <w:t xml:space="preserve"> </w:t>
            </w:r>
          </w:p>
        </w:tc>
      </w:tr>
      <w:tr w:rsidR="00D216C9" w:rsidTr="0069259F">
        <w:tc>
          <w:tcPr>
            <w:tcW w:w="713" w:type="dxa"/>
            <w:tcBorders>
              <w:top w:val="single" w:sz="6" w:space="0" w:color="auto"/>
              <w:bottom w:val="single" w:sz="6" w:space="0" w:color="auto"/>
            </w:tcBorders>
            <w:shd w:val="clear" w:color="auto" w:fill="auto"/>
          </w:tcPr>
          <w:p w:rsidR="00F85C99" w:rsidRPr="002F6A28" w:rsidRDefault="0069137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91371" w:rsidP="00FD075A">
            <w:pPr>
              <w:spacing w:before="120" w:after="120"/>
              <w:rPr>
                <w:b/>
              </w:rPr>
            </w:pPr>
            <w:r w:rsidRPr="002F6A28">
              <w:rPr>
                <w:b/>
              </w:rPr>
              <w:t xml:space="preserve">Description of content: </w:t>
            </w:r>
            <w:r>
              <w:t>The United Kingdom on 29 March 2017 submitted the notification of its intention to withdraw from the Union pursuant to Article 50 of the Treaty on European Union. This means that, unless a ratified withdrawal agreement establishes another date, all Union primary and secondary law will cease to apply to the United Kingdom from 30 March 2019, ('the withdrawal date').</w:t>
            </w:r>
            <w:r w:rsidR="007A167C">
              <w:t> </w:t>
            </w:r>
            <w:r>
              <w:t xml:space="preserve">The United Kingdom will then become a third country. </w:t>
            </w:r>
          </w:p>
          <w:p w:rsidR="00D216C9" w:rsidRDefault="00691371" w:rsidP="00FD075A">
            <w:pPr>
              <w:spacing w:after="120"/>
            </w:pPr>
            <w:r>
              <w:t>Subject to any transitional arrangement that may be contained in a possible withdrawal agreement, the EU legislative framework governing type approval for a number of products will no longer apply to the United Kingdom as of the withdrawal date, notably:</w:t>
            </w:r>
          </w:p>
          <w:p w:rsidR="00D216C9" w:rsidRDefault="00691371" w:rsidP="00FD075A">
            <w:pPr>
              <w:numPr>
                <w:ilvl w:val="0"/>
                <w:numId w:val="16"/>
              </w:numPr>
              <w:spacing w:after="120"/>
            </w:pPr>
            <w:r>
              <w:t xml:space="preserve">Directive 2007/46/EC concerning the type-approval of motor vehicles and trailers (to be replaced by a Regulation which will be applicable as from 1 September 2020); </w:t>
            </w:r>
          </w:p>
          <w:p w:rsidR="00D216C9" w:rsidRDefault="00691371" w:rsidP="00FD075A">
            <w:pPr>
              <w:numPr>
                <w:ilvl w:val="0"/>
                <w:numId w:val="16"/>
              </w:numPr>
              <w:spacing w:after="120"/>
            </w:pPr>
            <w:r>
              <w:t>Regulation (EU) No 168/2013 concerning the type-approval of two- and three-wheeled vehicles and quadricycles;</w:t>
            </w:r>
          </w:p>
          <w:p w:rsidR="00D216C9" w:rsidRDefault="00691371" w:rsidP="00FD075A">
            <w:pPr>
              <w:numPr>
                <w:ilvl w:val="0"/>
                <w:numId w:val="16"/>
              </w:numPr>
              <w:spacing w:after="120"/>
            </w:pPr>
            <w:r>
              <w:t xml:space="preserve">Regulation (EU) No 167/2013 concerning the type-approval of agricultural and forestry vehicles; and </w:t>
            </w:r>
          </w:p>
          <w:p w:rsidR="00D216C9" w:rsidRDefault="00691371" w:rsidP="00FD075A">
            <w:pPr>
              <w:numPr>
                <w:ilvl w:val="0"/>
                <w:numId w:val="16"/>
              </w:numPr>
              <w:spacing w:after="120"/>
            </w:pPr>
            <w:r>
              <w:lastRenderedPageBreak/>
              <w:t xml:space="preserve">Regulation (EU) 2016/1628 concerning the type-approval of engines for use in non-road mobile machinery. </w:t>
            </w:r>
          </w:p>
          <w:p w:rsidR="00D216C9" w:rsidRDefault="00691371" w:rsidP="00FD075A">
            <w:pPr>
              <w:spacing w:after="120"/>
            </w:pPr>
            <w:r>
              <w:t>This also means that the United Kingdom type-approval authority will cease to be an EU type-approval authority and will no longer be able to fulfil any of the powers and obligations of a type-approval authority under EU legislation. Manufacturers who obtained approvals in the United Kingdom in the past will thus need to obtain new approvals from EU-27 type-approval authorities, including for products already in production, in order to ensure continued compliance with EU legislation and retain access to the Union market.</w:t>
            </w:r>
          </w:p>
          <w:p w:rsidR="00D216C9" w:rsidRDefault="00691371" w:rsidP="00FD075A">
            <w:pPr>
              <w:spacing w:after="120"/>
            </w:pPr>
            <w:r>
              <w:t>While the legal framework for these products sets procedural requirements harmonising the way in which type-approvals are granted across the EU, some safeguards make it difficult for relevant manufacturers to take the necessary measures to ensure regulatory compliance and business continuity after the EU acquis ceases to apply to the United Kingdom.</w:t>
            </w:r>
          </w:p>
          <w:p w:rsidR="00D216C9" w:rsidRDefault="00691371" w:rsidP="00FD075A">
            <w:pPr>
              <w:spacing w:after="120"/>
            </w:pPr>
            <w:r>
              <w:t xml:space="preserve">This creates significant legal uncertainty for manufacturers with United Kingdom type-approvals. The present proposal aims to address this by modifying temporarily and in a very targeted manner the existing rules to allow concerned manufacturers to obtain new EU-27 approvals that replace their existing UK type-approved products. </w:t>
            </w:r>
          </w:p>
          <w:p w:rsidR="00D216C9" w:rsidRDefault="00691371" w:rsidP="00FD075A">
            <w:pPr>
              <w:spacing w:after="120"/>
            </w:pPr>
            <w:r>
              <w:t>The provisions proposed in the proposal will not lower the requirements regarding the safety or environmental performance of the vehicles, systems, components or separate technical units. It will not grant any advantages to manufacturers with UK type-approvals, compared to manufacturers with EU-27 type-approvals. The initiative will simply allow manufacturers to continue producing their products in compliance with applicable legal requirements without interrupting their existing production, which could have caused significant social and economic impacts. In facilitating manufacturers</w:t>
            </w:r>
            <w:r w:rsidR="007A167C">
              <w:t>'</w:t>
            </w:r>
            <w:r>
              <w:t xml:space="preserve"> compliance with EU law, the initiative will also ensure the protection of consumers and citizens.</w:t>
            </w:r>
            <w:bookmarkStart w:id="9" w:name="sps6a"/>
            <w:bookmarkEnd w:id="9"/>
          </w:p>
        </w:tc>
      </w:tr>
      <w:tr w:rsidR="00D216C9" w:rsidTr="0069259F">
        <w:tc>
          <w:tcPr>
            <w:tcW w:w="713" w:type="dxa"/>
            <w:tcBorders>
              <w:top w:val="single" w:sz="6" w:space="0" w:color="auto"/>
              <w:bottom w:val="single" w:sz="6" w:space="0" w:color="auto"/>
            </w:tcBorders>
            <w:shd w:val="clear" w:color="auto" w:fill="auto"/>
          </w:tcPr>
          <w:p w:rsidR="00F85C99" w:rsidRPr="002F6A28" w:rsidRDefault="00691371"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691371" w:rsidP="00FD075A">
            <w:pPr>
              <w:spacing w:before="120" w:after="120"/>
              <w:rPr>
                <w:b/>
              </w:rPr>
            </w:pPr>
            <w:r w:rsidRPr="002F6A28">
              <w:rPr>
                <w:b/>
              </w:rPr>
              <w:t xml:space="preserve">Objective and rationale, including the nature of urgent problems where applicable: </w:t>
            </w:r>
            <w:r>
              <w:t xml:space="preserve">With a view to improve legal uncertainty for manufacturers with United Kingdom type-approvals, this proposal: </w:t>
            </w:r>
          </w:p>
          <w:p w:rsidR="00D216C9" w:rsidRDefault="00691371" w:rsidP="00FD075A">
            <w:pPr>
              <w:numPr>
                <w:ilvl w:val="0"/>
                <w:numId w:val="17"/>
              </w:numPr>
              <w:spacing w:after="120"/>
            </w:pPr>
            <w:r>
              <w:t>Explicitly allows concerned manufacturers to apply to an EU-27 type-approval authority for new approvals for existing types;</w:t>
            </w:r>
          </w:p>
          <w:p w:rsidR="00D216C9" w:rsidRDefault="00691371" w:rsidP="00FD075A">
            <w:pPr>
              <w:numPr>
                <w:ilvl w:val="0"/>
                <w:numId w:val="17"/>
              </w:numPr>
              <w:spacing w:after="120"/>
            </w:pPr>
            <w:r>
              <w:t>Allows that tests underpinning the UK type approvals do not have to be repeated because the technical service was not designated and notified by the EU-27 type-approval authority before;</w:t>
            </w:r>
          </w:p>
          <w:p w:rsidR="00D216C9" w:rsidRDefault="00691371" w:rsidP="00FD075A">
            <w:pPr>
              <w:numPr>
                <w:ilvl w:val="0"/>
                <w:numId w:val="17"/>
              </w:numPr>
              <w:spacing w:after="120"/>
            </w:pPr>
            <w:r>
              <w:t>Provides that such approvals may be granted if the requirements for new vehicles, systems, components and separate technical units are met rather than those for new types;</w:t>
            </w:r>
          </w:p>
          <w:p w:rsidR="00D216C9" w:rsidRDefault="00691371" w:rsidP="00FD075A">
            <w:pPr>
              <w:numPr>
                <w:ilvl w:val="0"/>
                <w:numId w:val="17"/>
              </w:numPr>
              <w:spacing w:after="120"/>
            </w:pPr>
            <w:r>
              <w:t>Proposes to help identify new type-approval authorities for those products already on the market prior to the withdrawal, to avoid that no authority would be in charge of carrying out in-service conformity checks or issuing a possible future recall.</w:t>
            </w:r>
          </w:p>
        </w:tc>
      </w:tr>
      <w:tr w:rsidR="00D216C9" w:rsidRPr="0093567C" w:rsidTr="0069259F">
        <w:tc>
          <w:tcPr>
            <w:tcW w:w="713" w:type="dxa"/>
            <w:tcBorders>
              <w:top w:val="single" w:sz="6" w:space="0" w:color="auto"/>
              <w:bottom w:val="single" w:sz="6" w:space="0" w:color="auto"/>
            </w:tcBorders>
            <w:shd w:val="clear" w:color="auto" w:fill="auto"/>
          </w:tcPr>
          <w:p w:rsidR="00F85C99" w:rsidRPr="002F6A28" w:rsidRDefault="00691371"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FD075A" w:rsidRDefault="00691371" w:rsidP="00FD075A">
            <w:pPr>
              <w:spacing w:before="120" w:after="120"/>
              <w:rPr>
                <w:lang w:val="fr-CH"/>
              </w:rPr>
            </w:pPr>
            <w:r w:rsidRPr="00FD075A">
              <w:rPr>
                <w:b/>
                <w:lang w:val="fr-CH"/>
              </w:rPr>
              <w:t>Relevant documents:</w:t>
            </w:r>
            <w:r w:rsidRPr="00FD075A">
              <w:rPr>
                <w:lang w:val="fr-CH"/>
              </w:rPr>
              <w:t xml:space="preserve"> </w:t>
            </w:r>
          </w:p>
          <w:p w:rsidR="00D216C9" w:rsidRPr="00FD075A" w:rsidRDefault="00691371" w:rsidP="00FD075A">
            <w:pPr>
              <w:spacing w:after="120"/>
              <w:jc w:val="left"/>
              <w:rPr>
                <w:lang w:val="fr-CH"/>
              </w:rPr>
            </w:pPr>
            <w:r>
              <w:rPr>
                <w:lang w:val="fr-FR" w:eastAsia="fr-FR"/>
              </w:rPr>
              <w:t>Directive 2007/46/EC</w:t>
            </w:r>
            <w:r w:rsidR="00FD075A">
              <w:rPr>
                <w:lang w:val="fr-FR" w:eastAsia="fr-FR"/>
              </w:rPr>
              <w:t xml:space="preserve">: </w:t>
            </w:r>
            <w:hyperlink r:id="rId10" w:history="1">
              <w:r w:rsidRPr="00FD075A">
                <w:rPr>
                  <w:color w:val="0000FF"/>
                  <w:u w:val="single"/>
                  <w:lang w:val="fr-CH" w:eastAsia="fr-FR"/>
                </w:rPr>
                <w:t>https://eur-lex.europa.eu/legal-content/EN/TXT/?qid=1528987042508&amp;uri=CELEX:32007L0046</w:t>
              </w:r>
            </w:hyperlink>
          </w:p>
          <w:p w:rsidR="00D216C9" w:rsidRPr="0093567C" w:rsidRDefault="00691371" w:rsidP="00FD075A">
            <w:pPr>
              <w:spacing w:after="120"/>
              <w:jc w:val="left"/>
              <w:rPr>
                <w:lang w:val="fr-CH"/>
              </w:rPr>
            </w:pPr>
            <w:r>
              <w:rPr>
                <w:lang w:val="pt-PT" w:eastAsia="pt-PT"/>
              </w:rPr>
              <w:t>Regulation (EU) No 168/2013</w:t>
            </w:r>
            <w:r w:rsidR="00FD075A">
              <w:rPr>
                <w:lang w:val="pt-PT" w:eastAsia="pt-PT"/>
              </w:rPr>
              <w:t>:</w:t>
            </w:r>
            <w:r>
              <w:rPr>
                <w:lang w:val="pt-PT" w:eastAsia="pt-PT"/>
              </w:rPr>
              <w:t xml:space="preserve"> </w:t>
            </w:r>
            <w:hyperlink r:id="rId11" w:history="1">
              <w:r>
                <w:rPr>
                  <w:color w:val="0000FF"/>
                  <w:u w:val="single"/>
                  <w:lang w:val="pt-PT" w:eastAsia="pt-PT"/>
                </w:rPr>
                <w:t>https://eur-lex.europa.eu/legal-content/EN/TXT/?qid=1528987090952&amp;uri=CELEX:32013R0168</w:t>
              </w:r>
            </w:hyperlink>
          </w:p>
          <w:p w:rsidR="00D216C9" w:rsidRPr="00FD075A" w:rsidRDefault="00691371" w:rsidP="00FD075A">
            <w:pPr>
              <w:spacing w:after="120"/>
              <w:jc w:val="left"/>
              <w:rPr>
                <w:lang w:val="es-ES"/>
              </w:rPr>
            </w:pPr>
            <w:r>
              <w:rPr>
                <w:lang w:val="pt-PT" w:eastAsia="pt-PT"/>
              </w:rPr>
              <w:t>Regulation (EU) No 167/2013</w:t>
            </w:r>
            <w:r w:rsidR="00FD075A">
              <w:rPr>
                <w:lang w:val="pt-PT" w:eastAsia="pt-PT"/>
              </w:rPr>
              <w:t>:</w:t>
            </w:r>
            <w:r>
              <w:rPr>
                <w:lang w:val="pt-PT" w:eastAsia="pt-PT"/>
              </w:rPr>
              <w:t xml:space="preserve"> </w:t>
            </w:r>
            <w:hyperlink r:id="rId12" w:history="1">
              <w:r>
                <w:rPr>
                  <w:color w:val="0000FF"/>
                  <w:u w:val="single"/>
                  <w:lang w:val="pt-PT" w:eastAsia="pt-PT"/>
                </w:rPr>
                <w:t>https://eur-lex.europa.eu/legal-content/EN/TXT/?qid=1528987195631&amp;uri=CELEX:32013R0167</w:t>
              </w:r>
            </w:hyperlink>
          </w:p>
          <w:p w:rsidR="00D216C9" w:rsidRPr="00FD075A" w:rsidRDefault="00691371" w:rsidP="00FD075A">
            <w:pPr>
              <w:spacing w:after="120"/>
              <w:jc w:val="left"/>
              <w:rPr>
                <w:lang w:val="es-ES"/>
              </w:rPr>
            </w:pPr>
            <w:proofErr w:type="spellStart"/>
            <w:r w:rsidRPr="00FD075A">
              <w:rPr>
                <w:lang w:val="es-ES"/>
              </w:rPr>
              <w:t>Regulation</w:t>
            </w:r>
            <w:proofErr w:type="spellEnd"/>
            <w:r w:rsidRPr="00FD075A">
              <w:rPr>
                <w:lang w:val="es-ES"/>
              </w:rPr>
              <w:t xml:space="preserve"> (EU) 2016/1628</w:t>
            </w:r>
            <w:r w:rsidR="00FD075A" w:rsidRPr="00FD075A">
              <w:rPr>
                <w:lang w:val="es-ES"/>
              </w:rPr>
              <w:t>:</w:t>
            </w:r>
            <w:r w:rsidRPr="00FD075A">
              <w:rPr>
                <w:lang w:val="es-ES"/>
              </w:rPr>
              <w:t xml:space="preserve"> </w:t>
            </w:r>
            <w:hyperlink r:id="rId13" w:history="1">
              <w:r w:rsidRPr="00FD075A">
                <w:rPr>
                  <w:color w:val="0000FF"/>
                  <w:u w:val="single"/>
                  <w:lang w:val="es-ES"/>
                </w:rPr>
                <w:t>https://eur-lex.europa.eu/legal-content/EN/TXT/?qid=1528987239562&amp;uri=CELEX:32016R1628</w:t>
              </w:r>
            </w:hyperlink>
            <w:bookmarkStart w:id="10" w:name="sps9a"/>
            <w:bookmarkEnd w:id="10"/>
            <w:r w:rsidRPr="00FD075A">
              <w:rPr>
                <w:bCs/>
                <w:lang w:val="es-ES"/>
              </w:rPr>
              <w:t xml:space="preserve"> </w:t>
            </w:r>
            <w:bookmarkStart w:id="11" w:name="sps9b"/>
            <w:bookmarkEnd w:id="11"/>
          </w:p>
        </w:tc>
      </w:tr>
      <w:tr w:rsidR="00D216C9" w:rsidTr="0069259F">
        <w:tc>
          <w:tcPr>
            <w:tcW w:w="713" w:type="dxa"/>
            <w:tcBorders>
              <w:top w:val="single" w:sz="6" w:space="0" w:color="auto"/>
              <w:bottom w:val="single" w:sz="6" w:space="0" w:color="auto"/>
            </w:tcBorders>
            <w:shd w:val="clear" w:color="auto" w:fill="auto"/>
          </w:tcPr>
          <w:p w:rsidR="00EE3A11" w:rsidRPr="002F6A28" w:rsidRDefault="00691371" w:rsidP="00FD075A">
            <w:pPr>
              <w:keepNext/>
              <w:keepLines/>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691371" w:rsidP="00FD075A">
            <w:pPr>
              <w:keepNext/>
              <w:keepLines/>
              <w:spacing w:before="120" w:after="120"/>
            </w:pPr>
            <w:r w:rsidRPr="002F6A28">
              <w:rPr>
                <w:b/>
              </w:rPr>
              <w:t>Proposed date of adoption:</w:t>
            </w:r>
            <w:bookmarkStart w:id="12" w:name="sps10b"/>
            <w:r w:rsidR="007A167C" w:rsidRPr="002F6A28">
              <w:rPr>
                <w:b/>
              </w:rPr>
              <w:t xml:space="preserve"> </w:t>
            </w:r>
            <w:r w:rsidRPr="002F6A28">
              <w:t>End of 2018</w:t>
            </w:r>
            <w:bookmarkEnd w:id="12"/>
          </w:p>
          <w:p w:rsidR="00EE3A11" w:rsidRPr="002F6A28" w:rsidRDefault="00691371" w:rsidP="00FD075A">
            <w:pPr>
              <w:keepNext/>
              <w:keepLines/>
              <w:spacing w:after="120"/>
            </w:pPr>
            <w:r w:rsidRPr="002F6A28">
              <w:rPr>
                <w:b/>
              </w:rPr>
              <w:t>Proposed date of entry into force:</w:t>
            </w:r>
            <w:bookmarkStart w:id="13" w:name="sps11b"/>
            <w:r w:rsidR="007A167C" w:rsidRPr="002F6A28">
              <w:rPr>
                <w:b/>
              </w:rPr>
              <w:t xml:space="preserve"> </w:t>
            </w:r>
            <w:r w:rsidRPr="002F6A28">
              <w:t xml:space="preserve">On the day of publication in the Official Journal of the EU </w:t>
            </w:r>
            <w:bookmarkEnd w:id="13"/>
          </w:p>
        </w:tc>
      </w:tr>
      <w:tr w:rsidR="00D216C9" w:rsidTr="0069259F">
        <w:tc>
          <w:tcPr>
            <w:tcW w:w="713" w:type="dxa"/>
            <w:tcBorders>
              <w:top w:val="single" w:sz="6" w:space="0" w:color="auto"/>
              <w:bottom w:val="single" w:sz="6" w:space="0" w:color="auto"/>
            </w:tcBorders>
            <w:shd w:val="clear" w:color="auto" w:fill="auto"/>
          </w:tcPr>
          <w:p w:rsidR="00F85C99" w:rsidRPr="002F6A28" w:rsidRDefault="0069137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91371" w:rsidP="00FD075A">
            <w:pPr>
              <w:spacing w:before="120" w:after="120"/>
            </w:pPr>
            <w:r w:rsidRPr="002F6A28">
              <w:rPr>
                <w:b/>
              </w:rPr>
              <w:t xml:space="preserve">Final date for comments: </w:t>
            </w:r>
            <w:r>
              <w:t>60 days from notification</w:t>
            </w:r>
            <w:bookmarkStart w:id="14" w:name="sps12a"/>
            <w:bookmarkEnd w:id="14"/>
          </w:p>
        </w:tc>
      </w:tr>
      <w:tr w:rsidR="00D216C9" w:rsidTr="0069259F">
        <w:tc>
          <w:tcPr>
            <w:tcW w:w="713" w:type="dxa"/>
            <w:tcBorders>
              <w:top w:val="single" w:sz="6" w:space="0" w:color="auto"/>
            </w:tcBorders>
            <w:shd w:val="clear" w:color="auto" w:fill="auto"/>
          </w:tcPr>
          <w:p w:rsidR="00F85C99" w:rsidRPr="002F6A28" w:rsidRDefault="0069137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691371" w:rsidP="00E969D2">
            <w:pPr>
              <w:keepNext/>
              <w:keepLines/>
              <w:spacing w:before="120" w:after="120"/>
            </w:pPr>
            <w:r w:rsidRPr="002F6A28">
              <w:rPr>
                <w:b/>
              </w:rPr>
              <w:t>Texts available from: National enquiry point [ ]</w:t>
            </w:r>
            <w:bookmarkStart w:id="15" w:name="sps13b"/>
            <w:bookmarkEnd w:id="15"/>
            <w:r w:rsidRPr="002F6A28">
              <w:rPr>
                <w:b/>
              </w:rPr>
              <w:t xml:space="preserve"> or address, telephone and fax numbers and email and website addresses, if available, of other body:</w:t>
            </w:r>
            <w:r w:rsidRPr="002F6A28">
              <w:t xml:space="preserve"> </w:t>
            </w:r>
          </w:p>
          <w:p w:rsidR="007A167C" w:rsidRDefault="00691371" w:rsidP="00E969D2">
            <w:pPr>
              <w:keepNext/>
              <w:keepLines/>
              <w:spacing w:after="120"/>
              <w:jc w:val="left"/>
            </w:pPr>
            <w:r>
              <w:t>European Commission,</w:t>
            </w:r>
            <w:r>
              <w:br/>
              <w:t>EU-TBT Enquiry Point,</w:t>
            </w:r>
            <w:r>
              <w:br/>
              <w:t>Fax: + (32) 2 299 80 43,</w:t>
            </w:r>
            <w:r>
              <w:br/>
              <w:t xml:space="preserve">E-mail: </w:t>
            </w:r>
            <w:hyperlink r:id="rId14" w:history="1">
              <w:r>
                <w:rPr>
                  <w:color w:val="0000FF"/>
                  <w:u w:val="single"/>
                </w:rPr>
                <w:t>grow-eu-tbt@ec.europa.eu</w:t>
              </w:r>
            </w:hyperlink>
            <w:r>
              <w:br/>
            </w:r>
            <w:r>
              <w:br/>
              <w:t xml:space="preserve">The text is available on the EU-TBT Website : </w:t>
            </w:r>
            <w:hyperlink r:id="rId15" w:tgtFrame="_blank" w:history="1">
              <w:r>
                <w:rPr>
                  <w:color w:val="0000FF"/>
                  <w:u w:val="single"/>
                </w:rPr>
                <w:t>http://ec.europa.eu/growth/tools-databases/tbt/en/</w:t>
              </w:r>
            </w:hyperlink>
          </w:p>
          <w:p w:rsidR="00F85C99" w:rsidRPr="002F6A28" w:rsidRDefault="0093567C" w:rsidP="00E969D2">
            <w:pPr>
              <w:keepNext/>
              <w:keepLines/>
              <w:spacing w:after="120"/>
              <w:jc w:val="left"/>
            </w:pPr>
            <w:hyperlink r:id="rId16" w:tgtFrame="_blank" w:history="1">
              <w:r w:rsidR="00691371">
                <w:rPr>
                  <w:color w:val="0000FF"/>
                  <w:u w:val="single"/>
                </w:rPr>
                <w:t>https://eur-lex.europa.eu/legal-content/EN/TXT/?uri=COM:2018:0397:FIN</w:t>
              </w:r>
            </w:hyperlink>
          </w:p>
          <w:p w:rsidR="00D216C9" w:rsidRDefault="0093567C">
            <w:pPr>
              <w:spacing w:after="120"/>
              <w:jc w:val="left"/>
            </w:pPr>
            <w:hyperlink r:id="rId17" w:tgtFrame="_blank" w:history="1">
              <w:r w:rsidR="00691371">
                <w:rPr>
                  <w:color w:val="0000FF"/>
                  <w:u w:val="single"/>
                </w:rPr>
                <w:t>https://members.wto.org/crnattachments/2018/TBT/EEC/18_3788_00_e.pdf</w:t>
              </w:r>
            </w:hyperlink>
          </w:p>
          <w:p w:rsidR="00D216C9" w:rsidRDefault="0093567C">
            <w:pPr>
              <w:spacing w:after="120"/>
              <w:jc w:val="left"/>
            </w:pPr>
            <w:hyperlink r:id="rId18" w:tgtFrame="_blank" w:history="1">
              <w:r w:rsidR="00691371">
                <w:rPr>
                  <w:color w:val="0000FF"/>
                  <w:u w:val="single"/>
                </w:rPr>
                <w:t>https://members.wto.org/crnattachments/2018/TBT/EEC/18_3788_00_f.pdf</w:t>
              </w:r>
            </w:hyperlink>
          </w:p>
          <w:p w:rsidR="00D216C9" w:rsidRDefault="0093567C">
            <w:pPr>
              <w:spacing w:after="120"/>
              <w:jc w:val="left"/>
            </w:pPr>
            <w:hyperlink r:id="rId19" w:tgtFrame="_blank" w:history="1">
              <w:r w:rsidR="00691371">
                <w:rPr>
                  <w:color w:val="0000FF"/>
                  <w:u w:val="single"/>
                </w:rPr>
                <w:t>https://members.wto.org/crnattachments/2018/TBT/EEC/18_3788_00_s.pdf</w:t>
              </w:r>
            </w:hyperlink>
            <w:bookmarkStart w:id="16" w:name="sps13c"/>
            <w:bookmarkEnd w:id="16"/>
          </w:p>
        </w:tc>
      </w:tr>
    </w:tbl>
    <w:p w:rsidR="00EE3A11" w:rsidRPr="002F6A28" w:rsidRDefault="0093567C" w:rsidP="002F6A28"/>
    <w:sectPr w:rsidR="00EE3A11" w:rsidRPr="002F6A28" w:rsidSect="008B5363">
      <w:headerReference w:type="even" r:id="rId20"/>
      <w:headerReference w:type="default" r:id="rId21"/>
      <w:footerReference w:type="even" r:id="rId22"/>
      <w:footerReference w:type="default" r:id="rId23"/>
      <w:headerReference w:type="first" r:id="rId24"/>
      <w:footerReference w:type="first" r:id="rId2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06E" w:rsidRDefault="00691371">
      <w:r>
        <w:separator/>
      </w:r>
    </w:p>
  </w:endnote>
  <w:endnote w:type="continuationSeparator" w:id="0">
    <w:p w:rsidR="0009606E" w:rsidRDefault="0069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8B5363" w:rsidRDefault="008B5363" w:rsidP="008B5363">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8B5363" w:rsidRDefault="008B5363" w:rsidP="008B5363">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691371">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06E" w:rsidRDefault="00691371">
      <w:r>
        <w:separator/>
      </w:r>
    </w:p>
  </w:footnote>
  <w:footnote w:type="continuationSeparator" w:id="0">
    <w:p w:rsidR="0009606E" w:rsidRDefault="00691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63" w:rsidRPr="008B5363" w:rsidRDefault="008B5363" w:rsidP="008B5363">
    <w:pPr>
      <w:pStyle w:val="Header"/>
      <w:pBdr>
        <w:bottom w:val="single" w:sz="4" w:space="1" w:color="auto"/>
      </w:pBdr>
      <w:tabs>
        <w:tab w:val="clear" w:pos="4513"/>
        <w:tab w:val="clear" w:pos="9027"/>
      </w:tabs>
      <w:jc w:val="center"/>
    </w:pPr>
    <w:r w:rsidRPr="008B5363">
      <w:t>G/TBT/N/EU/584</w:t>
    </w:r>
  </w:p>
  <w:p w:rsidR="008B5363" w:rsidRPr="008B5363" w:rsidRDefault="008B5363" w:rsidP="008B5363">
    <w:pPr>
      <w:pStyle w:val="Header"/>
      <w:pBdr>
        <w:bottom w:val="single" w:sz="4" w:space="1" w:color="auto"/>
      </w:pBdr>
      <w:tabs>
        <w:tab w:val="clear" w:pos="4513"/>
        <w:tab w:val="clear" w:pos="9027"/>
      </w:tabs>
      <w:jc w:val="center"/>
    </w:pPr>
  </w:p>
  <w:p w:rsidR="008B5363" w:rsidRPr="008B5363" w:rsidRDefault="008B5363" w:rsidP="008B5363">
    <w:pPr>
      <w:pStyle w:val="Header"/>
      <w:pBdr>
        <w:bottom w:val="single" w:sz="4" w:space="1" w:color="auto"/>
      </w:pBdr>
      <w:tabs>
        <w:tab w:val="clear" w:pos="4513"/>
        <w:tab w:val="clear" w:pos="9027"/>
      </w:tabs>
      <w:jc w:val="center"/>
    </w:pPr>
    <w:r w:rsidRPr="008B5363">
      <w:t xml:space="preserve">- </w:t>
    </w:r>
    <w:r w:rsidRPr="008B5363">
      <w:fldChar w:fldCharType="begin"/>
    </w:r>
    <w:r w:rsidRPr="008B5363">
      <w:instrText xml:space="preserve"> PAGE </w:instrText>
    </w:r>
    <w:r w:rsidRPr="008B5363">
      <w:fldChar w:fldCharType="separate"/>
    </w:r>
    <w:r w:rsidR="0093567C">
      <w:rPr>
        <w:noProof/>
      </w:rPr>
      <w:t>2</w:t>
    </w:r>
    <w:r w:rsidRPr="008B5363">
      <w:fldChar w:fldCharType="end"/>
    </w:r>
    <w:r w:rsidRPr="008B5363">
      <w:t xml:space="preserve"> -</w:t>
    </w:r>
  </w:p>
  <w:p w:rsidR="009239F7" w:rsidRPr="008B5363" w:rsidRDefault="0093567C" w:rsidP="008B5363">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63" w:rsidRPr="008B5363" w:rsidRDefault="008B5363" w:rsidP="008B5363">
    <w:pPr>
      <w:pStyle w:val="Header"/>
      <w:pBdr>
        <w:bottom w:val="single" w:sz="4" w:space="1" w:color="auto"/>
      </w:pBdr>
      <w:tabs>
        <w:tab w:val="clear" w:pos="4513"/>
        <w:tab w:val="clear" w:pos="9027"/>
      </w:tabs>
      <w:jc w:val="center"/>
    </w:pPr>
    <w:r w:rsidRPr="008B5363">
      <w:t>G/TBT/N/EU/584</w:t>
    </w:r>
  </w:p>
  <w:p w:rsidR="008B5363" w:rsidRPr="008B5363" w:rsidRDefault="008B5363" w:rsidP="008B5363">
    <w:pPr>
      <w:pStyle w:val="Header"/>
      <w:pBdr>
        <w:bottom w:val="single" w:sz="4" w:space="1" w:color="auto"/>
      </w:pBdr>
      <w:tabs>
        <w:tab w:val="clear" w:pos="4513"/>
        <w:tab w:val="clear" w:pos="9027"/>
      </w:tabs>
      <w:jc w:val="center"/>
    </w:pPr>
  </w:p>
  <w:p w:rsidR="008B5363" w:rsidRPr="008B5363" w:rsidRDefault="008B5363" w:rsidP="008B5363">
    <w:pPr>
      <w:pStyle w:val="Header"/>
      <w:pBdr>
        <w:bottom w:val="single" w:sz="4" w:space="1" w:color="auto"/>
      </w:pBdr>
      <w:tabs>
        <w:tab w:val="clear" w:pos="4513"/>
        <w:tab w:val="clear" w:pos="9027"/>
      </w:tabs>
      <w:jc w:val="center"/>
    </w:pPr>
    <w:r w:rsidRPr="008B5363">
      <w:t xml:space="preserve">- </w:t>
    </w:r>
    <w:r w:rsidRPr="008B5363">
      <w:fldChar w:fldCharType="begin"/>
    </w:r>
    <w:r w:rsidRPr="008B5363">
      <w:instrText xml:space="preserve"> PAGE </w:instrText>
    </w:r>
    <w:r w:rsidRPr="008B5363">
      <w:fldChar w:fldCharType="separate"/>
    </w:r>
    <w:r w:rsidR="0093567C">
      <w:rPr>
        <w:noProof/>
      </w:rPr>
      <w:t>3</w:t>
    </w:r>
    <w:r w:rsidRPr="008B5363">
      <w:fldChar w:fldCharType="end"/>
    </w:r>
    <w:r w:rsidRPr="008B5363">
      <w:t xml:space="preserve"> -</w:t>
    </w:r>
  </w:p>
  <w:p w:rsidR="009239F7" w:rsidRPr="008B5363" w:rsidRDefault="0093567C" w:rsidP="008B5363">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216C9" w:rsidTr="008612A9">
      <w:trPr>
        <w:trHeight w:val="240"/>
        <w:jc w:val="center"/>
      </w:trPr>
      <w:tc>
        <w:tcPr>
          <w:tcW w:w="3794" w:type="dxa"/>
          <w:shd w:val="clear" w:color="auto" w:fill="FFFFFF"/>
          <w:tcMar>
            <w:left w:w="108" w:type="dxa"/>
            <w:right w:w="108" w:type="dxa"/>
          </w:tcMar>
          <w:vAlign w:val="center"/>
        </w:tcPr>
        <w:p w:rsidR="00ED54E0" w:rsidRPr="009239F7" w:rsidRDefault="0093567C"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8B5363" w:rsidP="00B801E9">
          <w:pPr>
            <w:jc w:val="right"/>
            <w:rPr>
              <w:b/>
              <w:color w:val="FF0000"/>
              <w:szCs w:val="16"/>
            </w:rPr>
          </w:pPr>
          <w:r>
            <w:rPr>
              <w:b/>
              <w:color w:val="FF0000"/>
              <w:szCs w:val="16"/>
            </w:rPr>
            <w:t xml:space="preserve"> </w:t>
          </w:r>
        </w:p>
      </w:tc>
    </w:tr>
    <w:bookmarkEnd w:id="17"/>
    <w:tr w:rsidR="00D216C9" w:rsidTr="008612A9">
      <w:trPr>
        <w:trHeight w:val="213"/>
        <w:jc w:val="center"/>
      </w:trPr>
      <w:tc>
        <w:tcPr>
          <w:tcW w:w="3794" w:type="dxa"/>
          <w:vMerge w:val="restart"/>
          <w:shd w:val="clear" w:color="auto" w:fill="FFFFFF"/>
          <w:tcMar>
            <w:left w:w="0" w:type="dxa"/>
            <w:right w:w="0" w:type="dxa"/>
          </w:tcMar>
        </w:tcPr>
        <w:p w:rsidR="00ED54E0" w:rsidRPr="009239F7" w:rsidRDefault="008B5363" w:rsidP="00B801E9">
          <w:pPr>
            <w:jc w:val="left"/>
          </w:pPr>
          <w:r>
            <w:rPr>
              <w:noProof/>
              <w:lang w:eastAsia="en-GB"/>
            </w:rPr>
            <w:drawing>
              <wp:inline distT="0" distB="0" distL="0" distR="0" wp14:anchorId="09F27CD8" wp14:editId="36AC2F07">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93567C" w:rsidP="00B801E9">
          <w:pPr>
            <w:jc w:val="right"/>
            <w:rPr>
              <w:b/>
              <w:szCs w:val="16"/>
            </w:rPr>
          </w:pPr>
        </w:p>
      </w:tc>
    </w:tr>
    <w:tr w:rsidR="00D216C9" w:rsidTr="008612A9">
      <w:trPr>
        <w:trHeight w:val="868"/>
        <w:jc w:val="center"/>
      </w:trPr>
      <w:tc>
        <w:tcPr>
          <w:tcW w:w="3794" w:type="dxa"/>
          <w:vMerge/>
          <w:shd w:val="clear" w:color="auto" w:fill="FFFFFF"/>
          <w:tcMar>
            <w:left w:w="108" w:type="dxa"/>
            <w:right w:w="108" w:type="dxa"/>
          </w:tcMar>
        </w:tcPr>
        <w:p w:rsidR="00ED54E0" w:rsidRPr="009239F7" w:rsidRDefault="0093567C" w:rsidP="00B801E9">
          <w:pPr>
            <w:jc w:val="left"/>
            <w:rPr>
              <w:noProof/>
              <w:lang w:eastAsia="en-GB"/>
            </w:rPr>
          </w:pPr>
        </w:p>
      </w:tc>
      <w:tc>
        <w:tcPr>
          <w:tcW w:w="5448" w:type="dxa"/>
          <w:gridSpan w:val="2"/>
          <w:shd w:val="clear" w:color="auto" w:fill="FFFFFF"/>
          <w:tcMar>
            <w:left w:w="108" w:type="dxa"/>
            <w:right w:w="108" w:type="dxa"/>
          </w:tcMar>
        </w:tcPr>
        <w:p w:rsidR="008B5363" w:rsidRDefault="008B5363" w:rsidP="00B801E9">
          <w:pPr>
            <w:jc w:val="right"/>
            <w:rPr>
              <w:b/>
              <w:szCs w:val="16"/>
            </w:rPr>
          </w:pPr>
          <w:bookmarkStart w:id="18" w:name="bmkSymbols"/>
          <w:r>
            <w:rPr>
              <w:b/>
              <w:szCs w:val="16"/>
            </w:rPr>
            <w:t>G/TBT/N/EU/584</w:t>
          </w:r>
        </w:p>
        <w:bookmarkEnd w:id="18"/>
        <w:p w:rsidR="00ED54E0" w:rsidRPr="009239F7" w:rsidRDefault="0093567C" w:rsidP="00B801E9">
          <w:pPr>
            <w:jc w:val="right"/>
            <w:rPr>
              <w:b/>
              <w:szCs w:val="16"/>
            </w:rPr>
          </w:pPr>
        </w:p>
      </w:tc>
    </w:tr>
    <w:tr w:rsidR="00D216C9" w:rsidTr="008612A9">
      <w:trPr>
        <w:trHeight w:val="240"/>
        <w:jc w:val="center"/>
      </w:trPr>
      <w:tc>
        <w:tcPr>
          <w:tcW w:w="3794" w:type="dxa"/>
          <w:vMerge/>
          <w:shd w:val="clear" w:color="auto" w:fill="FFFFFF"/>
          <w:tcMar>
            <w:left w:w="108" w:type="dxa"/>
            <w:right w:w="108" w:type="dxa"/>
          </w:tcMar>
          <w:vAlign w:val="center"/>
        </w:tcPr>
        <w:p w:rsidR="00ED54E0" w:rsidRPr="009239F7" w:rsidRDefault="0093567C" w:rsidP="00B801E9"/>
      </w:tc>
      <w:tc>
        <w:tcPr>
          <w:tcW w:w="5448" w:type="dxa"/>
          <w:gridSpan w:val="2"/>
          <w:shd w:val="clear" w:color="auto" w:fill="FFFFFF"/>
          <w:tcMar>
            <w:left w:w="108" w:type="dxa"/>
            <w:right w:w="108" w:type="dxa"/>
          </w:tcMar>
          <w:vAlign w:val="center"/>
        </w:tcPr>
        <w:p w:rsidR="00ED54E0" w:rsidRPr="009239F7" w:rsidRDefault="00C96571" w:rsidP="00B801E9">
          <w:pPr>
            <w:jc w:val="right"/>
            <w:rPr>
              <w:szCs w:val="16"/>
            </w:rPr>
          </w:pPr>
          <w:bookmarkStart w:id="19" w:name="spsDateDistribution"/>
          <w:bookmarkStart w:id="20" w:name="bmkDate"/>
          <w:bookmarkEnd w:id="19"/>
          <w:bookmarkEnd w:id="20"/>
          <w:r>
            <w:rPr>
              <w:szCs w:val="16"/>
            </w:rPr>
            <w:t>17 July 2018</w:t>
          </w:r>
        </w:p>
      </w:tc>
    </w:tr>
    <w:tr w:rsidR="00D216C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91371" w:rsidP="0097650D">
          <w:pPr>
            <w:jc w:val="left"/>
            <w:rPr>
              <w:b/>
            </w:rPr>
          </w:pPr>
          <w:bookmarkStart w:id="21" w:name="bmkSerial"/>
          <w:r w:rsidRPr="002F6A28">
            <w:rPr>
              <w:color w:val="FF0000"/>
              <w:szCs w:val="16"/>
            </w:rPr>
            <w:t>(</w:t>
          </w:r>
          <w:bookmarkStart w:id="22" w:name="spsSerialNumber"/>
          <w:bookmarkEnd w:id="22"/>
          <w:r w:rsidR="00C96571">
            <w:rPr>
              <w:color w:val="FF0000"/>
              <w:szCs w:val="16"/>
            </w:rPr>
            <w:t>18-</w:t>
          </w:r>
          <w:r w:rsidR="0093567C">
            <w:rPr>
              <w:color w:val="FF0000"/>
              <w:szCs w:val="16"/>
            </w:rPr>
            <w:t>4491</w:t>
          </w:r>
          <w:bookmarkStart w:id="23" w:name="_GoBack"/>
          <w:bookmarkEnd w:id="23"/>
          <w:r w:rsidRPr="002F6A28">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9239F7" w:rsidRDefault="00691371" w:rsidP="00B801E9">
          <w:pPr>
            <w:jc w:val="right"/>
            <w:rPr>
              <w:szCs w:val="16"/>
            </w:rPr>
          </w:pPr>
          <w:bookmarkStart w:id="2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93567C">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93567C">
            <w:rPr>
              <w:bCs/>
              <w:noProof/>
              <w:szCs w:val="16"/>
            </w:rPr>
            <w:t>3</w:t>
          </w:r>
          <w:r w:rsidRPr="002F6A28">
            <w:rPr>
              <w:bCs/>
              <w:szCs w:val="16"/>
            </w:rPr>
            <w:fldChar w:fldCharType="end"/>
          </w:r>
          <w:bookmarkEnd w:id="24"/>
        </w:p>
      </w:tc>
    </w:tr>
    <w:tr w:rsidR="00D216C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8B5363" w:rsidP="00B801E9">
          <w:pPr>
            <w:jc w:val="left"/>
            <w:rPr>
              <w:sz w:val="14"/>
              <w:szCs w:val="16"/>
            </w:rPr>
          </w:pPr>
          <w:bookmarkStart w:id="25" w:name="bmkCommittee"/>
          <w:r>
            <w:rPr>
              <w:b/>
            </w:rPr>
            <w:t>Committee on Technical Barriers to Trade</w:t>
          </w:r>
          <w:bookmarkEnd w:id="25"/>
        </w:p>
      </w:tc>
      <w:tc>
        <w:tcPr>
          <w:tcW w:w="3325" w:type="dxa"/>
          <w:tcBorders>
            <w:top w:val="single" w:sz="4" w:space="0" w:color="auto"/>
          </w:tcBorders>
          <w:tcMar>
            <w:top w:w="113" w:type="dxa"/>
            <w:left w:w="108" w:type="dxa"/>
            <w:bottom w:w="57" w:type="dxa"/>
            <w:right w:w="108" w:type="dxa"/>
          </w:tcMar>
          <w:vAlign w:val="center"/>
        </w:tcPr>
        <w:p w:rsidR="00ED54E0" w:rsidRPr="002F6A28" w:rsidRDefault="008B5363" w:rsidP="00B801E9">
          <w:pPr>
            <w:jc w:val="right"/>
            <w:rPr>
              <w:bCs/>
              <w:szCs w:val="18"/>
            </w:rPr>
          </w:pPr>
          <w:bookmarkStart w:id="26" w:name="bmkLanguage"/>
          <w:r>
            <w:rPr>
              <w:bCs/>
              <w:szCs w:val="18"/>
            </w:rPr>
            <w:t>Original: English</w:t>
          </w:r>
          <w:bookmarkEnd w:id="26"/>
        </w:p>
      </w:tc>
    </w:tr>
  </w:tbl>
  <w:p w:rsidR="00ED54E0" w:rsidRPr="002F6A28" w:rsidRDefault="009356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5609638">
      <w:start w:val="1"/>
      <w:numFmt w:val="decimal"/>
      <w:pStyle w:val="SummaryText"/>
      <w:lvlText w:val="%1."/>
      <w:lvlJc w:val="left"/>
      <w:pPr>
        <w:ind w:left="360" w:hanging="360"/>
      </w:pPr>
    </w:lvl>
    <w:lvl w:ilvl="1" w:tplc="60726696" w:tentative="1">
      <w:start w:val="1"/>
      <w:numFmt w:val="lowerLetter"/>
      <w:lvlText w:val="%2."/>
      <w:lvlJc w:val="left"/>
      <w:pPr>
        <w:ind w:left="1080" w:hanging="360"/>
      </w:pPr>
    </w:lvl>
    <w:lvl w:ilvl="2" w:tplc="28EEB2FC" w:tentative="1">
      <w:start w:val="1"/>
      <w:numFmt w:val="lowerRoman"/>
      <w:lvlText w:val="%3."/>
      <w:lvlJc w:val="right"/>
      <w:pPr>
        <w:ind w:left="1800" w:hanging="180"/>
      </w:pPr>
    </w:lvl>
    <w:lvl w:ilvl="3" w:tplc="F3886390" w:tentative="1">
      <w:start w:val="1"/>
      <w:numFmt w:val="decimal"/>
      <w:lvlText w:val="%4."/>
      <w:lvlJc w:val="left"/>
      <w:pPr>
        <w:ind w:left="2520" w:hanging="360"/>
      </w:pPr>
    </w:lvl>
    <w:lvl w:ilvl="4" w:tplc="F68AB4AC" w:tentative="1">
      <w:start w:val="1"/>
      <w:numFmt w:val="lowerLetter"/>
      <w:lvlText w:val="%5."/>
      <w:lvlJc w:val="left"/>
      <w:pPr>
        <w:ind w:left="3240" w:hanging="360"/>
      </w:pPr>
    </w:lvl>
    <w:lvl w:ilvl="5" w:tplc="C20862D6" w:tentative="1">
      <w:start w:val="1"/>
      <w:numFmt w:val="lowerRoman"/>
      <w:lvlText w:val="%6."/>
      <w:lvlJc w:val="right"/>
      <w:pPr>
        <w:ind w:left="3960" w:hanging="180"/>
      </w:pPr>
    </w:lvl>
    <w:lvl w:ilvl="6" w:tplc="39E42AC8" w:tentative="1">
      <w:start w:val="1"/>
      <w:numFmt w:val="decimal"/>
      <w:lvlText w:val="%7."/>
      <w:lvlJc w:val="left"/>
      <w:pPr>
        <w:ind w:left="4680" w:hanging="360"/>
      </w:pPr>
    </w:lvl>
    <w:lvl w:ilvl="7" w:tplc="A4A83B52" w:tentative="1">
      <w:start w:val="1"/>
      <w:numFmt w:val="lowerLetter"/>
      <w:lvlText w:val="%8."/>
      <w:lvlJc w:val="left"/>
      <w:pPr>
        <w:ind w:left="5400" w:hanging="360"/>
      </w:pPr>
    </w:lvl>
    <w:lvl w:ilvl="8" w:tplc="18783B6C" w:tentative="1">
      <w:start w:val="1"/>
      <w:numFmt w:val="lowerRoman"/>
      <w:lvlText w:val="%9."/>
      <w:lvlJc w:val="right"/>
      <w:pPr>
        <w:ind w:left="6120" w:hanging="180"/>
      </w:pPr>
    </w:lvl>
  </w:abstractNum>
  <w:abstractNum w:abstractNumId="14">
    <w:nsid w:val="63D526BB"/>
    <w:multiLevelType w:val="hybridMultilevel"/>
    <w:tmpl w:val="63D526BB"/>
    <w:lvl w:ilvl="0" w:tplc="1B54C276">
      <w:start w:val="1"/>
      <w:numFmt w:val="bullet"/>
      <w:lvlText w:val=""/>
      <w:lvlJc w:val="left"/>
      <w:pPr>
        <w:tabs>
          <w:tab w:val="num" w:pos="720"/>
        </w:tabs>
        <w:ind w:left="720" w:hanging="360"/>
      </w:pPr>
      <w:rPr>
        <w:rFonts w:ascii="Symbol" w:hAnsi="Symbol"/>
      </w:rPr>
    </w:lvl>
    <w:lvl w:ilvl="1" w:tplc="B02E6BA4">
      <w:start w:val="1"/>
      <w:numFmt w:val="bullet"/>
      <w:lvlText w:val="o"/>
      <w:lvlJc w:val="left"/>
      <w:pPr>
        <w:tabs>
          <w:tab w:val="num" w:pos="1440"/>
        </w:tabs>
        <w:ind w:left="1440" w:hanging="360"/>
      </w:pPr>
      <w:rPr>
        <w:rFonts w:ascii="Courier New" w:hAnsi="Courier New"/>
      </w:rPr>
    </w:lvl>
    <w:lvl w:ilvl="2" w:tplc="F2928E44">
      <w:start w:val="1"/>
      <w:numFmt w:val="bullet"/>
      <w:lvlText w:val=""/>
      <w:lvlJc w:val="left"/>
      <w:pPr>
        <w:tabs>
          <w:tab w:val="num" w:pos="2160"/>
        </w:tabs>
        <w:ind w:left="2160" w:hanging="360"/>
      </w:pPr>
      <w:rPr>
        <w:rFonts w:ascii="Wingdings" w:hAnsi="Wingdings"/>
      </w:rPr>
    </w:lvl>
    <w:lvl w:ilvl="3" w:tplc="478EA2F8">
      <w:start w:val="1"/>
      <w:numFmt w:val="bullet"/>
      <w:lvlText w:val=""/>
      <w:lvlJc w:val="left"/>
      <w:pPr>
        <w:tabs>
          <w:tab w:val="num" w:pos="2880"/>
        </w:tabs>
        <w:ind w:left="2880" w:hanging="360"/>
      </w:pPr>
      <w:rPr>
        <w:rFonts w:ascii="Symbol" w:hAnsi="Symbol"/>
      </w:rPr>
    </w:lvl>
    <w:lvl w:ilvl="4" w:tplc="8794A05C">
      <w:start w:val="1"/>
      <w:numFmt w:val="bullet"/>
      <w:lvlText w:val="o"/>
      <w:lvlJc w:val="left"/>
      <w:pPr>
        <w:tabs>
          <w:tab w:val="num" w:pos="3600"/>
        </w:tabs>
        <w:ind w:left="3600" w:hanging="360"/>
      </w:pPr>
      <w:rPr>
        <w:rFonts w:ascii="Courier New" w:hAnsi="Courier New"/>
      </w:rPr>
    </w:lvl>
    <w:lvl w:ilvl="5" w:tplc="6D746EF4">
      <w:start w:val="1"/>
      <w:numFmt w:val="bullet"/>
      <w:lvlText w:val=""/>
      <w:lvlJc w:val="left"/>
      <w:pPr>
        <w:tabs>
          <w:tab w:val="num" w:pos="4320"/>
        </w:tabs>
        <w:ind w:left="4320" w:hanging="360"/>
      </w:pPr>
      <w:rPr>
        <w:rFonts w:ascii="Wingdings" w:hAnsi="Wingdings"/>
      </w:rPr>
    </w:lvl>
    <w:lvl w:ilvl="6" w:tplc="F03CE5BA">
      <w:start w:val="1"/>
      <w:numFmt w:val="bullet"/>
      <w:lvlText w:val=""/>
      <w:lvlJc w:val="left"/>
      <w:pPr>
        <w:tabs>
          <w:tab w:val="num" w:pos="5040"/>
        </w:tabs>
        <w:ind w:left="5040" w:hanging="360"/>
      </w:pPr>
      <w:rPr>
        <w:rFonts w:ascii="Symbol" w:hAnsi="Symbol"/>
      </w:rPr>
    </w:lvl>
    <w:lvl w:ilvl="7" w:tplc="C5CC95A8">
      <w:start w:val="1"/>
      <w:numFmt w:val="bullet"/>
      <w:lvlText w:val="o"/>
      <w:lvlJc w:val="left"/>
      <w:pPr>
        <w:tabs>
          <w:tab w:val="num" w:pos="5760"/>
        </w:tabs>
        <w:ind w:left="5760" w:hanging="360"/>
      </w:pPr>
      <w:rPr>
        <w:rFonts w:ascii="Courier New" w:hAnsi="Courier New"/>
      </w:rPr>
    </w:lvl>
    <w:lvl w:ilvl="8" w:tplc="B2BE959E">
      <w:start w:val="1"/>
      <w:numFmt w:val="bullet"/>
      <w:lvlText w:val=""/>
      <w:lvlJc w:val="left"/>
      <w:pPr>
        <w:tabs>
          <w:tab w:val="num" w:pos="6480"/>
        </w:tabs>
        <w:ind w:left="6480" w:hanging="360"/>
      </w:pPr>
      <w:rPr>
        <w:rFonts w:ascii="Wingdings" w:hAnsi="Wingdings"/>
      </w:rPr>
    </w:lvl>
  </w:abstractNum>
  <w:abstractNum w:abstractNumId="15">
    <w:nsid w:val="63D526BC"/>
    <w:multiLevelType w:val="hybridMultilevel"/>
    <w:tmpl w:val="63D526BC"/>
    <w:lvl w:ilvl="0" w:tplc="A57AAA94">
      <w:start w:val="1"/>
      <w:numFmt w:val="bullet"/>
      <w:lvlText w:val=""/>
      <w:lvlJc w:val="left"/>
      <w:pPr>
        <w:tabs>
          <w:tab w:val="num" w:pos="720"/>
        </w:tabs>
        <w:ind w:left="720" w:hanging="360"/>
      </w:pPr>
      <w:rPr>
        <w:rFonts w:ascii="Symbol" w:hAnsi="Symbol"/>
      </w:rPr>
    </w:lvl>
    <w:lvl w:ilvl="1" w:tplc="7A0C9FD6">
      <w:start w:val="1"/>
      <w:numFmt w:val="bullet"/>
      <w:lvlText w:val="o"/>
      <w:lvlJc w:val="left"/>
      <w:pPr>
        <w:tabs>
          <w:tab w:val="num" w:pos="1440"/>
        </w:tabs>
        <w:ind w:left="1440" w:hanging="360"/>
      </w:pPr>
      <w:rPr>
        <w:rFonts w:ascii="Courier New" w:hAnsi="Courier New"/>
      </w:rPr>
    </w:lvl>
    <w:lvl w:ilvl="2" w:tplc="79843D80">
      <w:start w:val="1"/>
      <w:numFmt w:val="bullet"/>
      <w:lvlText w:val=""/>
      <w:lvlJc w:val="left"/>
      <w:pPr>
        <w:tabs>
          <w:tab w:val="num" w:pos="2160"/>
        </w:tabs>
        <w:ind w:left="2160" w:hanging="360"/>
      </w:pPr>
      <w:rPr>
        <w:rFonts w:ascii="Wingdings" w:hAnsi="Wingdings"/>
      </w:rPr>
    </w:lvl>
    <w:lvl w:ilvl="3" w:tplc="A97C7B08">
      <w:start w:val="1"/>
      <w:numFmt w:val="bullet"/>
      <w:lvlText w:val=""/>
      <w:lvlJc w:val="left"/>
      <w:pPr>
        <w:tabs>
          <w:tab w:val="num" w:pos="2880"/>
        </w:tabs>
        <w:ind w:left="2880" w:hanging="360"/>
      </w:pPr>
      <w:rPr>
        <w:rFonts w:ascii="Symbol" w:hAnsi="Symbol"/>
      </w:rPr>
    </w:lvl>
    <w:lvl w:ilvl="4" w:tplc="893C512A">
      <w:start w:val="1"/>
      <w:numFmt w:val="bullet"/>
      <w:lvlText w:val="o"/>
      <w:lvlJc w:val="left"/>
      <w:pPr>
        <w:tabs>
          <w:tab w:val="num" w:pos="3600"/>
        </w:tabs>
        <w:ind w:left="3600" w:hanging="360"/>
      </w:pPr>
      <w:rPr>
        <w:rFonts w:ascii="Courier New" w:hAnsi="Courier New"/>
      </w:rPr>
    </w:lvl>
    <w:lvl w:ilvl="5" w:tplc="46BE5CC2">
      <w:start w:val="1"/>
      <w:numFmt w:val="bullet"/>
      <w:lvlText w:val=""/>
      <w:lvlJc w:val="left"/>
      <w:pPr>
        <w:tabs>
          <w:tab w:val="num" w:pos="4320"/>
        </w:tabs>
        <w:ind w:left="4320" w:hanging="360"/>
      </w:pPr>
      <w:rPr>
        <w:rFonts w:ascii="Wingdings" w:hAnsi="Wingdings"/>
      </w:rPr>
    </w:lvl>
    <w:lvl w:ilvl="6" w:tplc="0A9A216E">
      <w:start w:val="1"/>
      <w:numFmt w:val="bullet"/>
      <w:lvlText w:val=""/>
      <w:lvlJc w:val="left"/>
      <w:pPr>
        <w:tabs>
          <w:tab w:val="num" w:pos="5040"/>
        </w:tabs>
        <w:ind w:left="5040" w:hanging="360"/>
      </w:pPr>
      <w:rPr>
        <w:rFonts w:ascii="Symbol" w:hAnsi="Symbol"/>
      </w:rPr>
    </w:lvl>
    <w:lvl w:ilvl="7" w:tplc="CA1ADFA0">
      <w:start w:val="1"/>
      <w:numFmt w:val="bullet"/>
      <w:lvlText w:val="o"/>
      <w:lvlJc w:val="left"/>
      <w:pPr>
        <w:tabs>
          <w:tab w:val="num" w:pos="5760"/>
        </w:tabs>
        <w:ind w:left="5760" w:hanging="360"/>
      </w:pPr>
      <w:rPr>
        <w:rFonts w:ascii="Courier New" w:hAnsi="Courier New"/>
      </w:rPr>
    </w:lvl>
    <w:lvl w:ilvl="8" w:tplc="9BB0279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6C9"/>
    <w:rsid w:val="0009606E"/>
    <w:rsid w:val="00433B63"/>
    <w:rsid w:val="00691371"/>
    <w:rsid w:val="007A167C"/>
    <w:rsid w:val="008B5363"/>
    <w:rsid w:val="0093567C"/>
    <w:rsid w:val="00C96571"/>
    <w:rsid w:val="00D216C9"/>
    <w:rsid w:val="00FD0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lex.europa.eu/legal-content/EN/TXT/?qid=1528987239562&amp;uri=CELEX:32016R1628" TargetMode="External"/><Relationship Id="rId18" Type="http://schemas.openxmlformats.org/officeDocument/2006/relationships/hyperlink" Target="https://members.wto.org/crnattachments/2018/TBT/EEC/18_3788_00_f.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eur-lex.europa.eu/legal-content/EN/TXT/?qid=1528987195631&amp;uri=CELEX:32013R0167" TargetMode="External"/><Relationship Id="rId17" Type="http://schemas.openxmlformats.org/officeDocument/2006/relationships/hyperlink" Target="https://members.wto.org/crnattachments/2018/TBT/EEC/18_3788_00_e.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ur-lex.europa.eu/legal-content/EN/TXT/?uri=COM:2018:0397:FI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EN/TXT/?qid=1528987090952&amp;uri=CELEX:32013R0168"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ec.europa.eu/growth/tools-databases/tbt/en/" TargetMode="External"/><Relationship Id="rId23" Type="http://schemas.openxmlformats.org/officeDocument/2006/relationships/footer" Target="footer2.xml"/><Relationship Id="rId10" Type="http://schemas.openxmlformats.org/officeDocument/2006/relationships/hyperlink" Target="https://eur-lex.europa.eu/legal-content/EN/TXT/?qid=1528987042508&amp;uri=CELEX:32007L0046" TargetMode="External"/><Relationship Id="rId19" Type="http://schemas.openxmlformats.org/officeDocument/2006/relationships/hyperlink" Target="https://members.wto.org/crnattachments/2018/TBT/EEC/18_3788_00_s.pdf" TargetMode="External"/><Relationship Id="rId4" Type="http://schemas.microsoft.com/office/2007/relationships/stylesWithEffects" Target="stylesWithEffects.xml"/><Relationship Id="rId9" Type="http://schemas.openxmlformats.org/officeDocument/2006/relationships/hyperlink" Target="mailto:grow-eu-tbt@ec.europa.eu" TargetMode="External"/><Relationship Id="rId14" Type="http://schemas.openxmlformats.org/officeDocument/2006/relationships/hyperlink" Target="mailto:grow-eu-tbt@ec.europa.eu"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61F1F-75AA-465F-BF1F-78632E03C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885</Words>
  <Characters>5769</Characters>
  <Application>Microsoft Office Word</Application>
  <DocSecurity>0</DocSecurity>
  <Lines>117</Lines>
  <Paragraphs>54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cp:lastPrinted>2018-07-17T09:34:00Z</cp:lastPrinted>
  <dcterms:created xsi:type="dcterms:W3CDTF">2018-07-17T09:28:00Z</dcterms:created>
  <dcterms:modified xsi:type="dcterms:W3CDTF">2018-07-17T13:47:00Z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G/TBT/N/EU/584</vt:lpwstr>
  </property>
</Properties>
</file>