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C2452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23FBA" w:rsidTr="00B056CB">
        <w:tc>
          <w:tcPr>
            <w:tcW w:w="707" w:type="dxa"/>
            <w:tcBorders>
              <w:bottom w:val="single" w:sz="6" w:space="0" w:color="auto"/>
            </w:tcBorders>
            <w:shd w:val="clear" w:color="auto" w:fill="auto"/>
          </w:tcPr>
          <w:p w:rsidR="00326D34" w:rsidRPr="004D1783" w:rsidRDefault="00C24524"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C24524" w:rsidP="004D1783">
            <w:pPr>
              <w:spacing w:before="120" w:after="120"/>
            </w:pPr>
            <w:r w:rsidRPr="004D1783">
              <w:rPr>
                <w:b/>
              </w:rPr>
              <w:t>Notifying Member:</w:t>
            </w:r>
            <w:r w:rsidRPr="004D1783">
              <w:t xml:space="preserve"> </w:t>
            </w:r>
            <w:bookmarkStart w:id="0" w:name="sps1a"/>
            <w:r w:rsidRPr="00EF5749">
              <w:rPr>
                <w:caps/>
                <w:u w:val="single"/>
              </w:rPr>
              <w:t>European Union</w:t>
            </w:r>
            <w:bookmarkEnd w:id="0"/>
          </w:p>
          <w:p w:rsidR="00326D34" w:rsidRPr="004D1783" w:rsidRDefault="00C24524" w:rsidP="004D1783">
            <w:pPr>
              <w:spacing w:after="120"/>
            </w:pPr>
            <w:r w:rsidRPr="004D1783">
              <w:rPr>
                <w:b/>
              </w:rPr>
              <w:t>If applicable, name of local government involved:</w:t>
            </w:r>
            <w:r w:rsidRPr="004D1783">
              <w:t xml:space="preserve"> </w:t>
            </w:r>
            <w:bookmarkStart w:id="1" w:name="sps1b"/>
            <w:bookmarkEnd w:id="1"/>
          </w:p>
        </w:tc>
      </w:tr>
      <w:tr w:rsidR="00E23FBA" w:rsidTr="00B056CB">
        <w:tc>
          <w:tcPr>
            <w:tcW w:w="707"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Agency responsible:</w:t>
            </w:r>
            <w:r w:rsidRPr="004D1783">
              <w:t xml:space="preserve"> </w:t>
            </w:r>
            <w:r>
              <w:t>European Commission, Health and Food Safety Directorate-General</w:t>
            </w:r>
            <w:bookmarkStart w:id="2" w:name="sps2a"/>
            <w:bookmarkEnd w:id="2"/>
          </w:p>
        </w:tc>
      </w:tr>
      <w:tr w:rsidR="00E23FBA" w:rsidTr="00B056CB">
        <w:tc>
          <w:tcPr>
            <w:tcW w:w="707"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Curry leaves, pitahaya (dragon fruit) and vine leaves</w:t>
            </w:r>
            <w:bookmarkStart w:id="3" w:name="sps3a"/>
            <w:bookmarkEnd w:id="3"/>
          </w:p>
        </w:tc>
      </w:tr>
      <w:tr w:rsidR="00E23FBA" w:rsidTr="00B056CB">
        <w:tc>
          <w:tcPr>
            <w:tcW w:w="707" w:type="dxa"/>
            <w:tcBorders>
              <w:top w:val="single" w:sz="6" w:space="0" w:color="auto"/>
              <w:bottom w:val="single" w:sz="6" w:space="0" w:color="auto"/>
            </w:tcBorders>
            <w:shd w:val="clear" w:color="auto" w:fill="auto"/>
          </w:tcPr>
          <w:p w:rsidR="00326D34" w:rsidRPr="004D1783" w:rsidRDefault="00C2452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C24524"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C24524"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C2452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India, Turkey, Viet Nam</w:t>
            </w:r>
            <w:bookmarkStart w:id="7" w:name="sps4a"/>
            <w:bookmarkEnd w:id="7"/>
          </w:p>
        </w:tc>
      </w:tr>
      <w:tr w:rsidR="00E23FBA" w:rsidTr="00B056CB">
        <w:tc>
          <w:tcPr>
            <w:tcW w:w="707"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 xml:space="preserve">Title of the notified document: </w:t>
            </w:r>
            <w:r>
              <w:t>Commission Implementing Regulation (EU) 2018/1660 of 7 November 2018 imposing special conditions governing the import of certain food of non-animal origin from certain third countries due to the risks of contamination with pesticides residues, amending Regulation (EC) No 669/2009 and repealing Implementing Regulation (EU) No 885/2014 (Text with EEA relevance)</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English, French and Spanish</w:t>
            </w:r>
            <w:bookmarkEnd w:id="9"/>
            <w:r w:rsidRPr="004D1783">
              <w:rPr>
                <w:bCs/>
              </w:rPr>
              <w:t>.</w:t>
            </w:r>
            <w:r w:rsidRPr="004D1783">
              <w:t xml:space="preserve"> </w:t>
            </w:r>
            <w:r w:rsidRPr="004D1783">
              <w:rPr>
                <w:b/>
              </w:rPr>
              <w:t xml:space="preserve">Number of pages: </w:t>
            </w:r>
            <w:bookmarkStart w:id="10" w:name="sps5c"/>
            <w:r w:rsidRPr="004D1783">
              <w:t>9</w:t>
            </w:r>
            <w:bookmarkEnd w:id="10"/>
          </w:p>
          <w:p w:rsidR="00326D34" w:rsidRPr="004D1783" w:rsidRDefault="00357FF4" w:rsidP="004D1783">
            <w:hyperlink r:id="rId7" w:tgtFrame="_blank" w:history="1">
              <w:r w:rsidR="00C24524">
                <w:rPr>
                  <w:color w:val="0000FF"/>
                  <w:u w:val="single"/>
                </w:rPr>
                <w:t>http://members.wto.org/crnattachments/2018/SPS/EEC/18_6034_00_e.pdf</w:t>
              </w:r>
            </w:hyperlink>
          </w:p>
          <w:p w:rsidR="00E23FBA" w:rsidRDefault="00357FF4">
            <w:hyperlink r:id="rId8" w:tgtFrame="_blank" w:history="1">
              <w:r w:rsidR="00C24524">
                <w:rPr>
                  <w:color w:val="0000FF"/>
                  <w:u w:val="single"/>
                </w:rPr>
                <w:t>http://members.wto.org/crnattachments/2018/SPS/EEC/18_6034_00_f.pdf</w:t>
              </w:r>
            </w:hyperlink>
          </w:p>
          <w:p w:rsidR="00E23FBA" w:rsidRDefault="00357FF4">
            <w:pPr>
              <w:spacing w:after="120"/>
            </w:pPr>
            <w:hyperlink r:id="rId9" w:tgtFrame="_blank" w:history="1">
              <w:r w:rsidR="00C24524">
                <w:rPr>
                  <w:color w:val="0000FF"/>
                  <w:u w:val="single"/>
                </w:rPr>
                <w:t>http://members.wto.org/crnattachments/2018/SPS/EEC/18_6034_00_s.pdf</w:t>
              </w:r>
            </w:hyperlink>
            <w:bookmarkStart w:id="11" w:name="sps5d"/>
            <w:bookmarkEnd w:id="11"/>
          </w:p>
        </w:tc>
      </w:tr>
      <w:tr w:rsidR="00E23FBA" w:rsidTr="00B056CB">
        <w:tc>
          <w:tcPr>
            <w:tcW w:w="707"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 xml:space="preserve">Description of content: </w:t>
            </w:r>
            <w:r>
              <w:t>This Regulation will subject curry leaves from India, pi</w:t>
            </w:r>
            <w:r w:rsidR="00945706">
              <w:t>tahaya (dragon fruit) from Viet N</w:t>
            </w:r>
            <w:r>
              <w:t>am and vine leaves from Turkey to import conditions including the requirement that each consignment is accompanied by a health certificate. It repeals and replaces Implementing Regulation (EU) No 885/2014 and amends Regulation (EC) No 669/2009 that were previously setting import conditions for these products. Additionally, this Regulation includes a provision regarding the notification of border rejections due to non-compliance with a maximum residue level of pesticides.</w:t>
            </w:r>
            <w:bookmarkStart w:id="12" w:name="sps6a"/>
            <w:bookmarkEnd w:id="12"/>
          </w:p>
        </w:tc>
      </w:tr>
      <w:tr w:rsidR="00E23FBA" w:rsidTr="00B056CB">
        <w:tc>
          <w:tcPr>
            <w:tcW w:w="707"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Objective and rationale: [</w:t>
            </w:r>
            <w:bookmarkStart w:id="13" w:name="sps7a"/>
            <w:r w:rsidRPr="004D1783">
              <w:rPr>
                <w:b/>
              </w:rPr>
              <w:t>X</w:t>
            </w:r>
            <w:bookmarkEnd w:id="13"/>
            <w:r w:rsidRPr="004D1783">
              <w:rPr>
                <w:b/>
              </w:rPr>
              <w:t>] food safety, [ ]</w:t>
            </w:r>
            <w:bookmarkStart w:id="14" w:name="sps7b"/>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E23FBA" w:rsidTr="00B056CB">
        <w:tc>
          <w:tcPr>
            <w:tcW w:w="707"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 xml:space="preserve">Nature of the urgent problem(s) and reason for urgent action: </w:t>
            </w:r>
            <w:r>
              <w:t xml:space="preserve">The results from the official controls carried out by the member States in the framework of Regulation (EC) No 669/2009, data resulting from notifications received through the Rapid Alert System for Food and Feed, as established by Regulation (EC) No 178/2002, audit reports by the Commission, reports received from third countries and exchanges of information between the Commission, member States and the European Food Safety Authority show a continuous high frequency of non-compliance of vine leaves from Turkey with the maximum residue levels of pesticides set out in Regulation (EC) No 396/2005 of the </w:t>
            </w:r>
            <w:r>
              <w:lastRenderedPageBreak/>
              <w:t>European Parliament and of the Council. No improvement of the situation could therefore be observed even after increasing the frequency of controls at Union borders.</w:t>
            </w:r>
          </w:p>
          <w:p w:rsidR="00E23FBA" w:rsidRDefault="00C24524">
            <w:pPr>
              <w:spacing w:after="120"/>
            </w:pPr>
            <w:r>
              <w:t xml:space="preserve">The results from the official controls carried out by the member States in the framework of Regulation (EC) No 669/2009 also show a high frequency of non-compliance of </w:t>
            </w:r>
            <w:r w:rsidR="008B1E32">
              <w:t>p</w:t>
            </w:r>
            <w:r>
              <w:t>itahaya (dragon fruit) from Viet Nam with the maximum residue levels of pesticides set out in Regulation (EC) No 396/2005. Moreover, an audit carried out by the Commission in Viet</w:t>
            </w:r>
            <w:r w:rsidR="008B1E32">
              <w:t> </w:t>
            </w:r>
            <w:r>
              <w:t>Nam in March 2017 to evaluate controls of pesticides in food of plant origin intended for export to the European Union found that there is no official effective pesticide control system for food exported to the Union and that the authorities cannot ensure compliance of Vietnamese products with maximum residue levels for pesticide residues.</w:t>
            </w:r>
          </w:p>
          <w:p w:rsidR="00E23FBA" w:rsidRDefault="00C24524">
            <w:pPr>
              <w:spacing w:after="120"/>
            </w:pPr>
            <w:r>
              <w:t xml:space="preserve">This provides evidence that the import of </w:t>
            </w:r>
            <w:r w:rsidR="008B1E32">
              <w:t>vine leaves from Turkey and of p</w:t>
            </w:r>
            <w:r>
              <w:t xml:space="preserve">itahaya (dragon fruit) from Viet Nam is likely to constitute a serious risk to health and that such risk cannot be contained satisfactorily by the measures currently in place. It is therefore necessary to establish special conditions of import for vine leaves from Turkey and </w:t>
            </w:r>
            <w:r w:rsidR="008B1E32">
              <w:t>p</w:t>
            </w:r>
            <w:r>
              <w:t>itahaya (dragon fruit) from Viet Nam.</w:t>
            </w:r>
          </w:p>
          <w:p w:rsidR="00E23FBA" w:rsidRDefault="00C24524">
            <w:pPr>
              <w:spacing w:after="120"/>
            </w:pPr>
            <w:r>
              <w:t xml:space="preserve">Curry leaves from India are currently subject to the special conditions of import set out in Commission Implementing Regulation (EU) No 885/2014. Special conditions of import for this product should be maintained, </w:t>
            </w:r>
            <w:proofErr w:type="gramStart"/>
            <w:r>
              <w:t>in light of</w:t>
            </w:r>
            <w:proofErr w:type="gramEnd"/>
            <w:r>
              <w:t xml:space="preserve"> the data resulting from notifications received through the Rapid Alert System for Food and Feed and of the results from the offici</w:t>
            </w:r>
            <w:r w:rsidR="009206BD">
              <w:t>al controls carried out by the m</w:t>
            </w:r>
            <w:r>
              <w:t xml:space="preserve">ember States in the </w:t>
            </w:r>
            <w:r w:rsidR="008B1E32">
              <w:t>framework of Regulation (EU) No </w:t>
            </w:r>
            <w:r>
              <w:t>885/2014, which show a continuous high frequency of non-compliance.</w:t>
            </w:r>
            <w:bookmarkStart w:id="19" w:name="sps8a"/>
            <w:bookmarkEnd w:id="19"/>
          </w:p>
        </w:tc>
      </w:tr>
      <w:tr w:rsidR="00E23FBA" w:rsidTr="00B056CB">
        <w:tc>
          <w:tcPr>
            <w:tcW w:w="707"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C24524" w:rsidP="004D1783">
            <w:pPr>
              <w:spacing w:before="120" w:after="120"/>
              <w:rPr>
                <w:b/>
              </w:rPr>
            </w:pPr>
            <w:r w:rsidRPr="004D1783">
              <w:rPr>
                <w:b/>
              </w:rPr>
              <w:t xml:space="preserve">Is there a relevant international standard? If so, identify the standard: </w:t>
            </w:r>
          </w:p>
          <w:p w:rsidR="00326D34" w:rsidRPr="004D1783" w:rsidRDefault="00C24524" w:rsidP="004D1783">
            <w:pPr>
              <w:spacing w:after="120"/>
              <w:ind w:left="720" w:hanging="720"/>
            </w:pPr>
            <w:r w:rsidRPr="004D1783">
              <w:rPr>
                <w:b/>
              </w:rPr>
              <w:t>[</w:t>
            </w:r>
            <w:bookmarkStart w:id="20" w:name="sps9a"/>
            <w:r w:rsidRPr="004D1783">
              <w:rPr>
                <w:b/>
              </w:rPr>
              <w:t>X</w:t>
            </w:r>
            <w:bookmarkEnd w:id="20"/>
            <w:r w:rsidRPr="004D1783">
              <w:rPr>
                <w:b/>
              </w:rPr>
              <w:t>]</w:t>
            </w:r>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r>
              <w:t>Codex standards on Pesticide Residues</w:t>
            </w:r>
            <w:bookmarkStart w:id="21" w:name="sps9atext"/>
            <w:bookmarkEnd w:id="21"/>
          </w:p>
          <w:p w:rsidR="00326D34" w:rsidRPr="004D1783" w:rsidRDefault="00C24524" w:rsidP="004D1783">
            <w:pPr>
              <w:spacing w:after="120"/>
              <w:ind w:left="720" w:hanging="720"/>
            </w:pPr>
            <w:r w:rsidRPr="004D1783">
              <w:rPr>
                <w:b/>
              </w:rPr>
              <w:t>[ ]</w:t>
            </w:r>
            <w:bookmarkStart w:id="22" w:name="sps9b"/>
            <w:bookmarkEnd w:id="22"/>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bookmarkStart w:id="23" w:name="sps9btext"/>
            <w:bookmarkEnd w:id="23"/>
          </w:p>
          <w:p w:rsidR="00326D34" w:rsidRPr="004D1783" w:rsidRDefault="00C24524"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5" w:name="sps9ctext"/>
            <w:bookmarkEnd w:id="25"/>
          </w:p>
          <w:p w:rsidR="00326D34" w:rsidRPr="004D1783" w:rsidRDefault="00C24524"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C24524" w:rsidP="004D1783">
            <w:pPr>
              <w:spacing w:after="120"/>
              <w:rPr>
                <w:b/>
              </w:rPr>
            </w:pPr>
            <w:r w:rsidRPr="004D1783">
              <w:rPr>
                <w:b/>
              </w:rPr>
              <w:t>Does this proposed regulation conform to the relevant international standard?</w:t>
            </w:r>
          </w:p>
          <w:p w:rsidR="00326D34" w:rsidRPr="004D1783" w:rsidRDefault="00C24524" w:rsidP="004D1783">
            <w:pPr>
              <w:spacing w:after="120"/>
              <w:rPr>
                <w:b/>
              </w:rPr>
            </w:pPr>
            <w:r w:rsidRPr="004D1783">
              <w:rPr>
                <w:b/>
              </w:rPr>
              <w:t>[ ]</w:t>
            </w:r>
            <w:bookmarkStart w:id="27" w:name="sps9ey"/>
            <w:bookmarkEnd w:id="27"/>
            <w:r w:rsidRPr="004D1783">
              <w:rPr>
                <w:b/>
              </w:rPr>
              <w:t xml:space="preserve"> Yes   [</w:t>
            </w:r>
            <w:bookmarkStart w:id="28" w:name="sps9en"/>
            <w:r w:rsidRPr="004D1783">
              <w:rPr>
                <w:b/>
              </w:rPr>
              <w:t>X</w:t>
            </w:r>
            <w:bookmarkEnd w:id="28"/>
            <w:r w:rsidRPr="004D1783">
              <w:rPr>
                <w:b/>
              </w:rPr>
              <w:t>] No</w:t>
            </w:r>
          </w:p>
          <w:p w:rsidR="00326D34" w:rsidRPr="004D1783" w:rsidRDefault="00C24524" w:rsidP="004D1783">
            <w:pPr>
              <w:spacing w:after="120"/>
              <w:rPr>
                <w:bCs/>
              </w:rPr>
            </w:pPr>
            <w:r w:rsidRPr="004D1783">
              <w:rPr>
                <w:b/>
              </w:rPr>
              <w:t xml:space="preserve">If no, describe, whenever possible, how and why it deviates from the international standard: </w:t>
            </w:r>
            <w:r>
              <w:t xml:space="preserve">This measure is based on EU </w:t>
            </w:r>
            <w:proofErr w:type="spellStart"/>
            <w:r>
              <w:t>MRLs</w:t>
            </w:r>
            <w:proofErr w:type="spellEnd"/>
            <w:r>
              <w:t>, some of which deviate from the relevant Codex Standard.</w:t>
            </w:r>
            <w:bookmarkStart w:id="29" w:name="sps9e"/>
            <w:bookmarkEnd w:id="29"/>
          </w:p>
        </w:tc>
      </w:tr>
      <w:tr w:rsidR="00E23FBA" w:rsidTr="00B056CB">
        <w:tc>
          <w:tcPr>
            <w:tcW w:w="707"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Other relevant documents and language(s) in which these are available:</w:t>
            </w:r>
            <w:r w:rsidRPr="004D1783">
              <w:rPr>
                <w:bCs/>
              </w:rPr>
              <w:t xml:space="preserve"> </w:t>
            </w:r>
            <w:r>
              <w:t>ISO/IEC 17025</w:t>
            </w:r>
            <w:bookmarkStart w:id="30" w:name="sps10a"/>
            <w:bookmarkStart w:id="31" w:name="sps10b"/>
            <w:bookmarkEnd w:id="30"/>
            <w:bookmarkEnd w:id="31"/>
          </w:p>
        </w:tc>
      </w:tr>
      <w:tr w:rsidR="00E23FBA" w:rsidTr="00B056CB">
        <w:tc>
          <w:tcPr>
            <w:tcW w:w="707"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C24524"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307990">
              <w:t>28 </w:t>
            </w:r>
            <w:r>
              <w:t>November 2018</w:t>
            </w:r>
            <w:bookmarkStart w:id="32" w:name="sps11a"/>
            <w:bookmarkStart w:id="33" w:name="sps11c"/>
            <w:bookmarkStart w:id="34" w:name="sps11cbis"/>
            <w:bookmarkStart w:id="35" w:name="sps11d"/>
            <w:bookmarkEnd w:id="32"/>
            <w:bookmarkEnd w:id="33"/>
            <w:bookmarkEnd w:id="34"/>
            <w:bookmarkEnd w:id="35"/>
          </w:p>
          <w:p w:rsidR="00326D34" w:rsidRPr="004D1783" w:rsidRDefault="00C24524" w:rsidP="004D1783">
            <w:pPr>
              <w:spacing w:after="120"/>
              <w:ind w:left="607" w:hanging="607"/>
            </w:pPr>
            <w:proofErr w:type="gramStart"/>
            <w:r w:rsidRPr="004D1783">
              <w:rPr>
                <w:b/>
              </w:rPr>
              <w:t>[ ]</w:t>
            </w:r>
            <w:bookmarkStart w:id="36" w:name="sps11e"/>
            <w:bookmarkEnd w:id="36"/>
            <w:proofErr w:type="gramEnd"/>
            <w:r w:rsidRPr="004D1783">
              <w:rPr>
                <w:b/>
              </w:rPr>
              <w:tab/>
              <w:t xml:space="preserve">Trade facilitating measure </w:t>
            </w:r>
            <w:bookmarkStart w:id="37" w:name="sps11ebis"/>
            <w:bookmarkEnd w:id="37"/>
          </w:p>
        </w:tc>
      </w:tr>
      <w:tr w:rsidR="00E23FBA" w:rsidRPr="009A3141" w:rsidTr="00B056CB">
        <w:tc>
          <w:tcPr>
            <w:tcW w:w="707" w:type="dxa"/>
            <w:tcBorders>
              <w:top w:val="single" w:sz="6" w:space="0" w:color="auto"/>
              <w:bottom w:val="single" w:sz="6" w:space="0" w:color="auto"/>
            </w:tcBorders>
            <w:shd w:val="clear" w:color="auto" w:fill="auto"/>
          </w:tcPr>
          <w:p w:rsidR="00326D34" w:rsidRPr="004D1783" w:rsidRDefault="00C2452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C24524"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E23FBA" w:rsidRDefault="00C24524">
            <w:r>
              <w:t>European Commission</w:t>
            </w:r>
          </w:p>
          <w:p w:rsidR="00E23FBA" w:rsidRDefault="00C24524">
            <w:r>
              <w:t>DG Health and Food Safety, Unit D2-Multilateral International Relations</w:t>
            </w:r>
          </w:p>
          <w:p w:rsidR="00E23FBA" w:rsidRPr="009A3141" w:rsidRDefault="00C24524">
            <w:pPr>
              <w:rPr>
                <w:lang w:val="fr-CH"/>
              </w:rPr>
            </w:pPr>
            <w:r w:rsidRPr="009A3141">
              <w:rPr>
                <w:lang w:val="fr-CH"/>
              </w:rPr>
              <w:t>Rue Froissart 101</w:t>
            </w:r>
          </w:p>
          <w:p w:rsidR="00E23FBA" w:rsidRPr="009A3141" w:rsidRDefault="00C24524">
            <w:pPr>
              <w:rPr>
                <w:lang w:val="fr-CH"/>
              </w:rPr>
            </w:pPr>
            <w:r w:rsidRPr="009A3141">
              <w:rPr>
                <w:lang w:val="fr-CH"/>
              </w:rPr>
              <w:t>B-1049 Brussels</w:t>
            </w:r>
          </w:p>
          <w:p w:rsidR="00E23FBA" w:rsidRPr="009A3141" w:rsidRDefault="00C24524">
            <w:pPr>
              <w:rPr>
                <w:lang w:val="fr-CH"/>
              </w:rPr>
            </w:pPr>
            <w:proofErr w:type="gramStart"/>
            <w:r w:rsidRPr="009A3141">
              <w:rPr>
                <w:lang w:val="fr-CH"/>
              </w:rPr>
              <w:t>Tel:</w:t>
            </w:r>
            <w:proofErr w:type="gramEnd"/>
            <w:r w:rsidRPr="009A3141">
              <w:rPr>
                <w:lang w:val="fr-CH"/>
              </w:rPr>
              <w:t xml:space="preserve"> +(32 2) 29 54263</w:t>
            </w:r>
          </w:p>
          <w:p w:rsidR="00E23FBA" w:rsidRPr="009A3141" w:rsidRDefault="00C24524">
            <w:pPr>
              <w:rPr>
                <w:lang w:val="fr-CH"/>
              </w:rPr>
            </w:pPr>
            <w:proofErr w:type="gramStart"/>
            <w:r w:rsidRPr="009A3141">
              <w:rPr>
                <w:lang w:val="fr-CH"/>
              </w:rPr>
              <w:t>Fax:</w:t>
            </w:r>
            <w:proofErr w:type="gramEnd"/>
            <w:r w:rsidRPr="009A3141">
              <w:rPr>
                <w:lang w:val="fr-CH"/>
              </w:rPr>
              <w:t xml:space="preserve"> +(32 2) 29 98090</w:t>
            </w:r>
          </w:p>
          <w:p w:rsidR="00E23FBA" w:rsidRPr="009A3141" w:rsidRDefault="00C24524">
            <w:pPr>
              <w:spacing w:after="120"/>
              <w:rPr>
                <w:lang w:val="fr-CH"/>
              </w:rPr>
            </w:pPr>
            <w:proofErr w:type="gramStart"/>
            <w:r w:rsidRPr="009A3141">
              <w:rPr>
                <w:lang w:val="fr-CH"/>
              </w:rPr>
              <w:t>E-mail:</w:t>
            </w:r>
            <w:proofErr w:type="gramEnd"/>
            <w:r w:rsidRPr="009A3141">
              <w:rPr>
                <w:lang w:val="fr-CH"/>
              </w:rPr>
              <w:t xml:space="preserve"> sps@ec.europa.eu</w:t>
            </w:r>
            <w:bookmarkStart w:id="40" w:name="sps12c"/>
            <w:bookmarkEnd w:id="40"/>
          </w:p>
        </w:tc>
      </w:tr>
      <w:tr w:rsidR="00E23FBA" w:rsidRPr="009A3141" w:rsidTr="00B056CB">
        <w:tc>
          <w:tcPr>
            <w:tcW w:w="707" w:type="dxa"/>
            <w:tcBorders>
              <w:top w:val="single" w:sz="6" w:space="0" w:color="auto"/>
            </w:tcBorders>
            <w:shd w:val="clear" w:color="auto" w:fill="auto"/>
          </w:tcPr>
          <w:p w:rsidR="00326D34" w:rsidRPr="004D1783" w:rsidRDefault="00C24524" w:rsidP="00B056CB">
            <w:pPr>
              <w:keepNext/>
              <w:keepLines/>
              <w:spacing w:before="120" w:after="120"/>
              <w:rPr>
                <w:b/>
              </w:rPr>
            </w:pPr>
            <w:r w:rsidRPr="004D1783">
              <w:rPr>
                <w:b/>
              </w:rPr>
              <w:lastRenderedPageBreak/>
              <w:t>13.</w:t>
            </w:r>
          </w:p>
        </w:tc>
        <w:tc>
          <w:tcPr>
            <w:tcW w:w="8320" w:type="dxa"/>
            <w:tcBorders>
              <w:top w:val="single" w:sz="6" w:space="0" w:color="auto"/>
            </w:tcBorders>
            <w:shd w:val="clear" w:color="auto" w:fill="auto"/>
          </w:tcPr>
          <w:p w:rsidR="00326D34" w:rsidRPr="004D1783" w:rsidRDefault="00C24524"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E23FBA" w:rsidRDefault="00C24524">
            <w:r>
              <w:t>European Commission</w:t>
            </w:r>
          </w:p>
          <w:p w:rsidR="00E23FBA" w:rsidRDefault="00C24524">
            <w:r>
              <w:t>DG Health and Food Safety, Unit D2-Multilateral International Relations</w:t>
            </w:r>
          </w:p>
          <w:p w:rsidR="00E23FBA" w:rsidRPr="009A3141" w:rsidRDefault="00C24524">
            <w:pPr>
              <w:rPr>
                <w:lang w:val="fr-CH"/>
              </w:rPr>
            </w:pPr>
            <w:r w:rsidRPr="009A3141">
              <w:rPr>
                <w:lang w:val="fr-CH"/>
              </w:rPr>
              <w:t>Rue Froissart 101</w:t>
            </w:r>
          </w:p>
          <w:p w:rsidR="00E23FBA" w:rsidRPr="009A3141" w:rsidRDefault="00C24524">
            <w:pPr>
              <w:rPr>
                <w:lang w:val="fr-CH"/>
              </w:rPr>
            </w:pPr>
            <w:r w:rsidRPr="009A3141">
              <w:rPr>
                <w:lang w:val="fr-CH"/>
              </w:rPr>
              <w:t>B-1049 Brussels</w:t>
            </w:r>
          </w:p>
          <w:p w:rsidR="00E23FBA" w:rsidRPr="009A3141" w:rsidRDefault="00C24524">
            <w:pPr>
              <w:rPr>
                <w:lang w:val="fr-CH"/>
              </w:rPr>
            </w:pPr>
            <w:proofErr w:type="gramStart"/>
            <w:r w:rsidRPr="009A3141">
              <w:rPr>
                <w:lang w:val="fr-CH"/>
              </w:rPr>
              <w:t>Tel:</w:t>
            </w:r>
            <w:proofErr w:type="gramEnd"/>
            <w:r w:rsidRPr="009A3141">
              <w:rPr>
                <w:lang w:val="fr-CH"/>
              </w:rPr>
              <w:t xml:space="preserve"> +(32 2) 29 54263</w:t>
            </w:r>
          </w:p>
          <w:p w:rsidR="00E23FBA" w:rsidRPr="009A3141" w:rsidRDefault="00C24524">
            <w:pPr>
              <w:rPr>
                <w:lang w:val="fr-CH"/>
              </w:rPr>
            </w:pPr>
            <w:proofErr w:type="gramStart"/>
            <w:r w:rsidRPr="009A3141">
              <w:rPr>
                <w:lang w:val="fr-CH"/>
              </w:rPr>
              <w:t>Fax:</w:t>
            </w:r>
            <w:proofErr w:type="gramEnd"/>
            <w:r w:rsidRPr="009A3141">
              <w:rPr>
                <w:lang w:val="fr-CH"/>
              </w:rPr>
              <w:t xml:space="preserve"> +(32 2) 29 98090</w:t>
            </w:r>
          </w:p>
          <w:p w:rsidR="00E23FBA" w:rsidRPr="009A3141" w:rsidRDefault="00C24524">
            <w:pPr>
              <w:spacing w:after="120"/>
              <w:rPr>
                <w:lang w:val="fr-CH"/>
              </w:rPr>
            </w:pPr>
            <w:proofErr w:type="gramStart"/>
            <w:r w:rsidRPr="009A3141">
              <w:rPr>
                <w:lang w:val="fr-CH"/>
              </w:rPr>
              <w:t>E-mail:</w:t>
            </w:r>
            <w:proofErr w:type="gramEnd"/>
            <w:r w:rsidRPr="009A3141">
              <w:rPr>
                <w:lang w:val="fr-CH"/>
              </w:rPr>
              <w:t xml:space="preserve"> sps@ec.europa.eu</w:t>
            </w:r>
            <w:bookmarkStart w:id="43" w:name="sps13c"/>
            <w:bookmarkEnd w:id="43"/>
          </w:p>
        </w:tc>
      </w:tr>
    </w:tbl>
    <w:p w:rsidR="007141CF" w:rsidRPr="009A3141" w:rsidRDefault="00357FF4" w:rsidP="004D1783">
      <w:pPr>
        <w:rPr>
          <w:lang w:val="fr-CH"/>
        </w:rPr>
      </w:pPr>
    </w:p>
    <w:sectPr w:rsidR="007141CF" w:rsidRPr="009A3141" w:rsidSect="009A314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A43" w:rsidRDefault="00C24524">
      <w:r>
        <w:separator/>
      </w:r>
    </w:p>
  </w:endnote>
  <w:endnote w:type="continuationSeparator" w:id="0">
    <w:p w:rsidR="00734A43" w:rsidRDefault="00C2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A3141" w:rsidRDefault="009A3141" w:rsidP="009A314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A3141" w:rsidRDefault="009A3141" w:rsidP="009A314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C2452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A43" w:rsidRDefault="00C24524">
      <w:r>
        <w:separator/>
      </w:r>
    </w:p>
  </w:footnote>
  <w:footnote w:type="continuationSeparator" w:id="0">
    <w:p w:rsidR="00734A43" w:rsidRDefault="00C2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141" w:rsidRPr="009A3141" w:rsidRDefault="009A3141" w:rsidP="009A3141">
    <w:pPr>
      <w:pStyle w:val="En-tte"/>
      <w:pBdr>
        <w:bottom w:val="single" w:sz="4" w:space="1" w:color="auto"/>
      </w:pBdr>
      <w:tabs>
        <w:tab w:val="clear" w:pos="4513"/>
        <w:tab w:val="clear" w:pos="9027"/>
      </w:tabs>
      <w:jc w:val="center"/>
    </w:pPr>
    <w:r w:rsidRPr="009A3141">
      <w:t>G/SPS/N/EU/286</w:t>
    </w:r>
  </w:p>
  <w:p w:rsidR="009A3141" w:rsidRPr="009A3141" w:rsidRDefault="009A3141" w:rsidP="009A3141">
    <w:pPr>
      <w:pStyle w:val="En-tte"/>
      <w:pBdr>
        <w:bottom w:val="single" w:sz="4" w:space="1" w:color="auto"/>
      </w:pBdr>
      <w:tabs>
        <w:tab w:val="clear" w:pos="4513"/>
        <w:tab w:val="clear" w:pos="9027"/>
      </w:tabs>
      <w:jc w:val="center"/>
    </w:pPr>
  </w:p>
  <w:p w:rsidR="009A3141" w:rsidRPr="009A3141" w:rsidRDefault="009A3141" w:rsidP="009A3141">
    <w:pPr>
      <w:pStyle w:val="En-tte"/>
      <w:pBdr>
        <w:bottom w:val="single" w:sz="4" w:space="1" w:color="auto"/>
      </w:pBdr>
      <w:tabs>
        <w:tab w:val="clear" w:pos="4513"/>
        <w:tab w:val="clear" w:pos="9027"/>
      </w:tabs>
      <w:jc w:val="center"/>
    </w:pPr>
    <w:r w:rsidRPr="009A3141">
      <w:t xml:space="preserve">- </w:t>
    </w:r>
    <w:r w:rsidRPr="009A3141">
      <w:fldChar w:fldCharType="begin"/>
    </w:r>
    <w:r w:rsidRPr="009A3141">
      <w:instrText xml:space="preserve"> PAGE </w:instrText>
    </w:r>
    <w:r w:rsidRPr="009A3141">
      <w:fldChar w:fldCharType="separate"/>
    </w:r>
    <w:r w:rsidR="00357FF4">
      <w:rPr>
        <w:noProof/>
      </w:rPr>
      <w:t>2</w:t>
    </w:r>
    <w:r w:rsidRPr="009A3141">
      <w:fldChar w:fldCharType="end"/>
    </w:r>
    <w:r w:rsidRPr="009A3141">
      <w:t xml:space="preserve"> -</w:t>
    </w:r>
  </w:p>
  <w:p w:rsidR="00326D34" w:rsidRPr="009A3141" w:rsidRDefault="00357FF4" w:rsidP="009A314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141" w:rsidRPr="009A3141" w:rsidRDefault="009A3141" w:rsidP="009A3141">
    <w:pPr>
      <w:pStyle w:val="En-tte"/>
      <w:pBdr>
        <w:bottom w:val="single" w:sz="4" w:space="1" w:color="auto"/>
      </w:pBdr>
      <w:tabs>
        <w:tab w:val="clear" w:pos="4513"/>
        <w:tab w:val="clear" w:pos="9027"/>
      </w:tabs>
      <w:jc w:val="center"/>
    </w:pPr>
    <w:r w:rsidRPr="009A3141">
      <w:t>G/SPS/N/EU/286</w:t>
    </w:r>
  </w:p>
  <w:p w:rsidR="009A3141" w:rsidRPr="009A3141" w:rsidRDefault="009A3141" w:rsidP="009A3141">
    <w:pPr>
      <w:pStyle w:val="En-tte"/>
      <w:pBdr>
        <w:bottom w:val="single" w:sz="4" w:space="1" w:color="auto"/>
      </w:pBdr>
      <w:tabs>
        <w:tab w:val="clear" w:pos="4513"/>
        <w:tab w:val="clear" w:pos="9027"/>
      </w:tabs>
      <w:jc w:val="center"/>
    </w:pPr>
  </w:p>
  <w:p w:rsidR="009A3141" w:rsidRPr="009A3141" w:rsidRDefault="009A3141" w:rsidP="009A3141">
    <w:pPr>
      <w:pStyle w:val="En-tte"/>
      <w:pBdr>
        <w:bottom w:val="single" w:sz="4" w:space="1" w:color="auto"/>
      </w:pBdr>
      <w:tabs>
        <w:tab w:val="clear" w:pos="4513"/>
        <w:tab w:val="clear" w:pos="9027"/>
      </w:tabs>
      <w:jc w:val="center"/>
    </w:pPr>
    <w:r w:rsidRPr="009A3141">
      <w:t xml:space="preserve">- </w:t>
    </w:r>
    <w:r w:rsidRPr="009A3141">
      <w:fldChar w:fldCharType="begin"/>
    </w:r>
    <w:r w:rsidRPr="009A3141">
      <w:instrText xml:space="preserve"> PAGE </w:instrText>
    </w:r>
    <w:r w:rsidRPr="009A3141">
      <w:fldChar w:fldCharType="separate"/>
    </w:r>
    <w:r w:rsidR="00357FF4">
      <w:rPr>
        <w:noProof/>
      </w:rPr>
      <w:t>3</w:t>
    </w:r>
    <w:r w:rsidRPr="009A3141">
      <w:fldChar w:fldCharType="end"/>
    </w:r>
    <w:r w:rsidRPr="009A3141">
      <w:t xml:space="preserve"> -</w:t>
    </w:r>
  </w:p>
  <w:p w:rsidR="00326D34" w:rsidRPr="009A3141" w:rsidRDefault="00357FF4" w:rsidP="009A314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3FBA" w:rsidTr="00F766DE">
      <w:trPr>
        <w:trHeight w:val="240"/>
        <w:jc w:val="center"/>
      </w:trPr>
      <w:tc>
        <w:tcPr>
          <w:tcW w:w="3794" w:type="dxa"/>
          <w:shd w:val="clear" w:color="auto" w:fill="FFFFFF"/>
          <w:tcMar>
            <w:left w:w="108" w:type="dxa"/>
            <w:right w:w="108" w:type="dxa"/>
          </w:tcMar>
          <w:vAlign w:val="center"/>
        </w:tcPr>
        <w:p w:rsidR="00ED54E0" w:rsidRPr="00326D34" w:rsidRDefault="00357FF4"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9A3141" w:rsidP="00545F9C">
          <w:pPr>
            <w:jc w:val="right"/>
            <w:rPr>
              <w:b/>
              <w:color w:val="FF0000"/>
              <w:szCs w:val="16"/>
            </w:rPr>
          </w:pPr>
          <w:r>
            <w:rPr>
              <w:b/>
              <w:color w:val="FF0000"/>
              <w:szCs w:val="16"/>
            </w:rPr>
            <w:t xml:space="preserve"> </w:t>
          </w:r>
        </w:p>
      </w:tc>
    </w:tr>
    <w:bookmarkEnd w:id="44"/>
    <w:tr w:rsidR="00E23FBA" w:rsidTr="00F766DE">
      <w:trPr>
        <w:trHeight w:val="213"/>
        <w:jc w:val="center"/>
      </w:trPr>
      <w:tc>
        <w:tcPr>
          <w:tcW w:w="3794" w:type="dxa"/>
          <w:vMerge w:val="restart"/>
          <w:shd w:val="clear" w:color="auto" w:fill="FFFFFF"/>
          <w:tcMar>
            <w:left w:w="0" w:type="dxa"/>
            <w:right w:w="0" w:type="dxa"/>
          </w:tcMar>
        </w:tcPr>
        <w:p w:rsidR="00ED54E0" w:rsidRPr="00326D34" w:rsidRDefault="009A3141"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357FF4" w:rsidP="00545F9C">
          <w:pPr>
            <w:jc w:val="right"/>
            <w:rPr>
              <w:b/>
              <w:szCs w:val="16"/>
            </w:rPr>
          </w:pPr>
        </w:p>
      </w:tc>
    </w:tr>
    <w:tr w:rsidR="00E23FBA" w:rsidTr="00F766DE">
      <w:trPr>
        <w:trHeight w:val="868"/>
        <w:jc w:val="center"/>
      </w:trPr>
      <w:tc>
        <w:tcPr>
          <w:tcW w:w="3794" w:type="dxa"/>
          <w:vMerge/>
          <w:shd w:val="clear" w:color="auto" w:fill="FFFFFF"/>
          <w:tcMar>
            <w:left w:w="108" w:type="dxa"/>
            <w:right w:w="108" w:type="dxa"/>
          </w:tcMar>
        </w:tcPr>
        <w:p w:rsidR="00ED54E0" w:rsidRPr="00326D34" w:rsidRDefault="00357FF4" w:rsidP="00545F9C">
          <w:pPr>
            <w:jc w:val="left"/>
            <w:rPr>
              <w:noProof/>
              <w:lang w:eastAsia="en-GB"/>
            </w:rPr>
          </w:pPr>
        </w:p>
      </w:tc>
      <w:tc>
        <w:tcPr>
          <w:tcW w:w="5448" w:type="dxa"/>
          <w:gridSpan w:val="2"/>
          <w:shd w:val="clear" w:color="auto" w:fill="FFFFFF"/>
          <w:tcMar>
            <w:left w:w="108" w:type="dxa"/>
            <w:right w:w="108" w:type="dxa"/>
          </w:tcMar>
        </w:tcPr>
        <w:p w:rsidR="009A3141" w:rsidRDefault="009A3141" w:rsidP="00043762">
          <w:pPr>
            <w:jc w:val="right"/>
            <w:rPr>
              <w:b/>
              <w:szCs w:val="16"/>
            </w:rPr>
          </w:pPr>
          <w:bookmarkStart w:id="45" w:name="bmkSymbols"/>
          <w:r>
            <w:rPr>
              <w:b/>
              <w:szCs w:val="16"/>
            </w:rPr>
            <w:t>G/SPS/N/EU/286</w:t>
          </w:r>
        </w:p>
        <w:bookmarkEnd w:id="45"/>
        <w:p w:rsidR="00ED54E0" w:rsidRPr="004D1783" w:rsidRDefault="00357FF4" w:rsidP="00043762">
          <w:pPr>
            <w:jc w:val="right"/>
            <w:rPr>
              <w:b/>
              <w:szCs w:val="16"/>
            </w:rPr>
          </w:pPr>
        </w:p>
      </w:tc>
    </w:tr>
    <w:tr w:rsidR="00E23FBA" w:rsidTr="00F766DE">
      <w:trPr>
        <w:trHeight w:val="240"/>
        <w:jc w:val="center"/>
      </w:trPr>
      <w:tc>
        <w:tcPr>
          <w:tcW w:w="3794" w:type="dxa"/>
          <w:vMerge/>
          <w:shd w:val="clear" w:color="auto" w:fill="FFFFFF"/>
          <w:tcMar>
            <w:left w:w="108" w:type="dxa"/>
            <w:right w:w="108" w:type="dxa"/>
          </w:tcMar>
          <w:vAlign w:val="center"/>
        </w:tcPr>
        <w:p w:rsidR="00ED54E0" w:rsidRPr="00326D34" w:rsidRDefault="00357FF4" w:rsidP="00545F9C"/>
      </w:tc>
      <w:tc>
        <w:tcPr>
          <w:tcW w:w="5448" w:type="dxa"/>
          <w:gridSpan w:val="2"/>
          <w:shd w:val="clear" w:color="auto" w:fill="FFFFFF"/>
          <w:tcMar>
            <w:left w:w="108" w:type="dxa"/>
            <w:right w:w="108" w:type="dxa"/>
          </w:tcMar>
          <w:vAlign w:val="center"/>
        </w:tcPr>
        <w:p w:rsidR="00ED54E0" w:rsidRPr="00326D34" w:rsidRDefault="00357FF4" w:rsidP="00545F9C">
          <w:pPr>
            <w:jc w:val="right"/>
            <w:rPr>
              <w:szCs w:val="16"/>
            </w:rPr>
          </w:pPr>
          <w:bookmarkStart w:id="46" w:name="spsDateDistribution"/>
          <w:bookmarkStart w:id="47" w:name="bmkDate"/>
          <w:bookmarkEnd w:id="46"/>
          <w:bookmarkEnd w:id="47"/>
          <w:r>
            <w:rPr>
              <w:szCs w:val="16"/>
            </w:rPr>
            <w:t xml:space="preserve">22 November </w:t>
          </w:r>
          <w:r>
            <w:rPr>
              <w:szCs w:val="16"/>
            </w:rPr>
            <w:t>2018</w:t>
          </w:r>
          <w:bookmarkStart w:id="48" w:name="_GoBack"/>
          <w:bookmarkEnd w:id="48"/>
        </w:p>
      </w:tc>
    </w:tr>
    <w:tr w:rsidR="00E23FBA"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C24524" w:rsidP="00545F9C">
          <w:pPr>
            <w:jc w:val="left"/>
            <w:rPr>
              <w:b/>
            </w:rPr>
          </w:pPr>
          <w:bookmarkStart w:id="49" w:name="bmkSerial"/>
          <w:r w:rsidRPr="004D1783">
            <w:rPr>
              <w:color w:val="FF0000"/>
              <w:szCs w:val="16"/>
            </w:rPr>
            <w:t>(</w:t>
          </w:r>
          <w:bookmarkStart w:id="50" w:name="spsSerialNumber"/>
          <w:bookmarkEnd w:id="50"/>
          <w:r w:rsidR="00357FF4">
            <w:rPr>
              <w:color w:val="FF0000"/>
              <w:szCs w:val="16"/>
            </w:rPr>
            <w:t>18-7340</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C24524"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357FF4">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357FF4">
            <w:rPr>
              <w:bCs/>
              <w:noProof/>
              <w:szCs w:val="16"/>
            </w:rPr>
            <w:t>3</w:t>
          </w:r>
          <w:r w:rsidRPr="004D1783">
            <w:rPr>
              <w:bCs/>
              <w:szCs w:val="16"/>
            </w:rPr>
            <w:fldChar w:fldCharType="end"/>
          </w:r>
          <w:bookmarkEnd w:id="51"/>
        </w:p>
      </w:tc>
    </w:tr>
    <w:tr w:rsidR="00E23FBA"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9A3141"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9A3141" w:rsidP="00BD648A">
          <w:pPr>
            <w:jc w:val="right"/>
            <w:rPr>
              <w:bCs/>
              <w:szCs w:val="18"/>
            </w:rPr>
          </w:pPr>
          <w:bookmarkStart w:id="53" w:name="bmkLanguage"/>
          <w:r>
            <w:rPr>
              <w:bCs/>
              <w:szCs w:val="18"/>
            </w:rPr>
            <w:t>Original: English</w:t>
          </w:r>
          <w:bookmarkEnd w:id="53"/>
        </w:p>
      </w:tc>
    </w:tr>
  </w:tbl>
  <w:p w:rsidR="00ED54E0" w:rsidRPr="004D1783" w:rsidRDefault="00357F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74B34C">
      <w:start w:val="1"/>
      <w:numFmt w:val="decimal"/>
      <w:pStyle w:val="SummaryText"/>
      <w:lvlText w:val="%1."/>
      <w:lvlJc w:val="left"/>
      <w:pPr>
        <w:ind w:left="360" w:hanging="360"/>
      </w:pPr>
    </w:lvl>
    <w:lvl w:ilvl="1" w:tplc="D88CFAC2" w:tentative="1">
      <w:start w:val="1"/>
      <w:numFmt w:val="lowerLetter"/>
      <w:lvlText w:val="%2."/>
      <w:lvlJc w:val="left"/>
      <w:pPr>
        <w:ind w:left="1080" w:hanging="360"/>
      </w:pPr>
    </w:lvl>
    <w:lvl w:ilvl="2" w:tplc="9DB24B18" w:tentative="1">
      <w:start w:val="1"/>
      <w:numFmt w:val="lowerRoman"/>
      <w:lvlText w:val="%3."/>
      <w:lvlJc w:val="right"/>
      <w:pPr>
        <w:ind w:left="1800" w:hanging="180"/>
      </w:pPr>
    </w:lvl>
    <w:lvl w:ilvl="3" w:tplc="27DA1A4A" w:tentative="1">
      <w:start w:val="1"/>
      <w:numFmt w:val="decimal"/>
      <w:lvlText w:val="%4."/>
      <w:lvlJc w:val="left"/>
      <w:pPr>
        <w:ind w:left="2520" w:hanging="360"/>
      </w:pPr>
    </w:lvl>
    <w:lvl w:ilvl="4" w:tplc="F15AC3E8" w:tentative="1">
      <w:start w:val="1"/>
      <w:numFmt w:val="lowerLetter"/>
      <w:lvlText w:val="%5."/>
      <w:lvlJc w:val="left"/>
      <w:pPr>
        <w:ind w:left="3240" w:hanging="360"/>
      </w:pPr>
    </w:lvl>
    <w:lvl w:ilvl="5" w:tplc="3320DBD8" w:tentative="1">
      <w:start w:val="1"/>
      <w:numFmt w:val="lowerRoman"/>
      <w:lvlText w:val="%6."/>
      <w:lvlJc w:val="right"/>
      <w:pPr>
        <w:ind w:left="3960" w:hanging="180"/>
      </w:pPr>
    </w:lvl>
    <w:lvl w:ilvl="6" w:tplc="9BACB8AA" w:tentative="1">
      <w:start w:val="1"/>
      <w:numFmt w:val="decimal"/>
      <w:lvlText w:val="%7."/>
      <w:lvlJc w:val="left"/>
      <w:pPr>
        <w:ind w:left="4680" w:hanging="360"/>
      </w:pPr>
    </w:lvl>
    <w:lvl w:ilvl="7" w:tplc="CF744A42" w:tentative="1">
      <w:start w:val="1"/>
      <w:numFmt w:val="lowerLetter"/>
      <w:lvlText w:val="%8."/>
      <w:lvlJc w:val="left"/>
      <w:pPr>
        <w:ind w:left="5400" w:hanging="360"/>
      </w:pPr>
    </w:lvl>
    <w:lvl w:ilvl="8" w:tplc="17A8E5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BA"/>
    <w:rsid w:val="00007658"/>
    <w:rsid w:val="00307990"/>
    <w:rsid w:val="00357FF4"/>
    <w:rsid w:val="004345B8"/>
    <w:rsid w:val="00590D19"/>
    <w:rsid w:val="00642575"/>
    <w:rsid w:val="00734A43"/>
    <w:rsid w:val="008B1E32"/>
    <w:rsid w:val="008C0B11"/>
    <w:rsid w:val="009206BD"/>
    <w:rsid w:val="00945706"/>
    <w:rsid w:val="009A3141"/>
    <w:rsid w:val="00C24524"/>
    <w:rsid w:val="00E2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1D7E4"/>
  <w15:docId w15:val="{81AB29D1-98B0-4F18-823D-41ACFF47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8/SPS/EEC/18_6034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embers.wto.org/crnattachments/2018/SPS/EEC/18_603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mbers.wto.org/crnattachments/2018/SPS/EEC/18_6034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988</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14</cp:revision>
  <dcterms:created xsi:type="dcterms:W3CDTF">2018-11-22T07:13:00Z</dcterms:created>
  <dcterms:modified xsi:type="dcterms:W3CDTF">2018-11-22T07:46:00Z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G/SPS/N/EU/286</vt:lpwstr>
  </property>
</Properties>
</file>